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1D02" w14:textId="57E5CDBE" w:rsidR="00F85B43" w:rsidRPr="00FB2317" w:rsidRDefault="00781D9D" w:rsidP="00F85B43">
      <w:pPr>
        <w:pStyle w:val="Title"/>
        <w:spacing w:before="0"/>
        <w:jc w:val="center"/>
        <w:rPr>
          <w:sz w:val="36"/>
          <w:szCs w:val="36"/>
        </w:rPr>
      </w:pPr>
      <w:r w:rsidRPr="00FB2317">
        <w:rPr>
          <w:sz w:val="36"/>
          <w:szCs w:val="36"/>
        </w:rPr>
        <w:t xml:space="preserve">AAS </w:t>
      </w:r>
      <w:r w:rsidR="005C0E84" w:rsidRPr="00FB2317">
        <w:rPr>
          <w:sz w:val="36"/>
          <w:szCs w:val="36"/>
        </w:rPr>
        <w:t>495 / ENVIRON 462</w:t>
      </w:r>
    </w:p>
    <w:p w14:paraId="577F74DE" w14:textId="3BED754C" w:rsidR="00391F57" w:rsidRPr="00FB2317" w:rsidRDefault="008B511F" w:rsidP="00F85B43">
      <w:pPr>
        <w:pStyle w:val="Title"/>
        <w:spacing w:before="0"/>
        <w:jc w:val="center"/>
        <w:rPr>
          <w:sz w:val="36"/>
          <w:szCs w:val="36"/>
        </w:rPr>
      </w:pPr>
      <w:r>
        <w:rPr>
          <w:sz w:val="36"/>
          <w:szCs w:val="36"/>
        </w:rPr>
        <w:t>Exploitation and the Environment</w:t>
      </w:r>
      <w:r w:rsidR="00391F57" w:rsidRPr="00FB2317">
        <w:rPr>
          <w:sz w:val="36"/>
          <w:szCs w:val="36"/>
        </w:rPr>
        <w:t>:</w:t>
      </w:r>
    </w:p>
    <w:p w14:paraId="2419E771" w14:textId="29A1AD53" w:rsidR="00667DC2" w:rsidRPr="005C0E84" w:rsidRDefault="008B511F" w:rsidP="00F85B43">
      <w:pPr>
        <w:pStyle w:val="Title"/>
        <w:spacing w:before="0"/>
        <w:jc w:val="center"/>
        <w:rPr>
          <w:sz w:val="36"/>
          <w:szCs w:val="36"/>
        </w:rPr>
      </w:pPr>
      <w:r>
        <w:rPr>
          <w:sz w:val="36"/>
          <w:szCs w:val="36"/>
        </w:rPr>
        <w:t>Conservation, Extraction, and Uneven Development</w:t>
      </w:r>
    </w:p>
    <w:p w14:paraId="2EA0E562" w14:textId="2E122BB9" w:rsidR="00667DC2" w:rsidRPr="000543D9" w:rsidRDefault="0024552B" w:rsidP="000543D9">
      <w:pPr>
        <w:spacing w:after="360"/>
        <w:jc w:val="center"/>
        <w:rPr>
          <w:b/>
          <w:bCs/>
          <w:sz w:val="32"/>
          <w:szCs w:val="28"/>
        </w:rPr>
      </w:pPr>
      <w:r w:rsidRPr="000543D9">
        <w:rPr>
          <w:b/>
          <w:bCs/>
          <w:sz w:val="32"/>
          <w:szCs w:val="32"/>
        </w:rPr>
        <w:t xml:space="preserve">University of Michigan, </w:t>
      </w:r>
      <w:r w:rsidR="00FC0286">
        <w:rPr>
          <w:b/>
          <w:bCs/>
          <w:sz w:val="32"/>
          <w:szCs w:val="32"/>
        </w:rPr>
        <w:t>Winter 202</w:t>
      </w:r>
      <w:r w:rsidR="008B511F">
        <w:rPr>
          <w:b/>
          <w:bCs/>
          <w:sz w:val="32"/>
          <w:szCs w:val="32"/>
        </w:rPr>
        <w:t>3</w:t>
      </w:r>
    </w:p>
    <w:p w14:paraId="4B9CC9EE" w14:textId="466836BC" w:rsidR="00607957" w:rsidRPr="00667DC2" w:rsidRDefault="0024552B" w:rsidP="00A42B4C">
      <w:r>
        <w:t>Instructor</w:t>
      </w:r>
      <w:r w:rsidR="009B5C31" w:rsidRPr="00667DC2">
        <w:t>:</w:t>
      </w:r>
      <w:r w:rsidR="009B5C31" w:rsidRPr="00667DC2">
        <w:tab/>
      </w:r>
      <w:r w:rsidR="000543D9">
        <w:tab/>
      </w:r>
      <w:r w:rsidR="000543D9">
        <w:tab/>
      </w:r>
      <w:r>
        <w:t xml:space="preserve">Professor </w:t>
      </w:r>
      <w:r w:rsidR="00A30064" w:rsidRPr="00667DC2">
        <w:t>Brian Ikaika Klein</w:t>
      </w:r>
      <w:r w:rsidR="00391F57">
        <w:t xml:space="preserve">, </w:t>
      </w:r>
      <w:hyperlink r:id="rId8" w:history="1">
        <w:r w:rsidR="000543D9" w:rsidRPr="00CD6088">
          <w:rPr>
            <w:rStyle w:val="Hyperlink"/>
            <w:rFonts w:eastAsia="Palatino"/>
            <w:szCs w:val="22"/>
          </w:rPr>
          <w:t>briklein@umich.edu</w:t>
        </w:r>
      </w:hyperlink>
    </w:p>
    <w:p w14:paraId="6D2204D3" w14:textId="73A56E93" w:rsidR="00A30064" w:rsidRDefault="009B5C31" w:rsidP="00A42B4C">
      <w:r w:rsidRPr="00667DC2">
        <w:t>Meetings:</w:t>
      </w:r>
      <w:r w:rsidRPr="00667DC2">
        <w:tab/>
      </w:r>
      <w:r w:rsidR="000543D9">
        <w:tab/>
      </w:r>
      <w:r w:rsidR="00F07409">
        <w:tab/>
      </w:r>
      <w:r w:rsidR="00391F57">
        <w:t xml:space="preserve">Monday/Wednesday, </w:t>
      </w:r>
      <w:r w:rsidR="0030736D">
        <w:t>1:00-</w:t>
      </w:r>
      <w:r w:rsidR="00391F57">
        <w:t>2:30</w:t>
      </w:r>
      <w:r w:rsidR="0030736D">
        <w:t xml:space="preserve">, </w:t>
      </w:r>
      <w:r w:rsidR="008B511F" w:rsidRPr="008B511F">
        <w:rPr>
          <w:highlight w:val="yellow"/>
        </w:rPr>
        <w:t>[LOCATION]</w:t>
      </w:r>
    </w:p>
    <w:p w14:paraId="60AF4AE7" w14:textId="0D79E70D" w:rsidR="00431E16" w:rsidRPr="00667DC2" w:rsidRDefault="009B5C31" w:rsidP="00A42B4C">
      <w:r w:rsidRPr="00667DC2">
        <w:t>Office Hours:</w:t>
      </w:r>
      <w:r w:rsidR="00D07EE4">
        <w:tab/>
      </w:r>
      <w:r w:rsidR="00D07EE4">
        <w:tab/>
      </w:r>
      <w:r w:rsidR="00391F57">
        <w:tab/>
      </w:r>
      <w:r w:rsidR="00286AFF">
        <w:t>Tuesday, 12:00-1:00 p.m. (or by appointment)</w:t>
      </w:r>
    </w:p>
    <w:p w14:paraId="7FFAE80C" w14:textId="79EB3A84" w:rsidR="00607957" w:rsidRPr="00667DC2" w:rsidRDefault="0024552B" w:rsidP="0003008C">
      <w:pPr>
        <w:ind w:left="2880"/>
      </w:pPr>
      <w:r>
        <w:t xml:space="preserve">Please sign up at </w:t>
      </w:r>
      <w:hyperlink r:id="rId9" w:history="1">
        <w:r w:rsidRPr="00AB3919">
          <w:rPr>
            <w:rStyle w:val="Hyperlink"/>
            <w:rFonts w:eastAsia="Palatino"/>
            <w:szCs w:val="22"/>
          </w:rPr>
          <w:t>https://brianklein.youcanbook.me</w:t>
        </w:r>
      </w:hyperlink>
      <w:r w:rsidR="0003008C">
        <w:t xml:space="preserve">, or e-mail for appointment if you can’t make the </w:t>
      </w:r>
      <w:proofErr w:type="gramStart"/>
      <w:r w:rsidR="0003008C">
        <w:t>normally-scheduled</w:t>
      </w:r>
      <w:proofErr w:type="gramEnd"/>
      <w:r w:rsidR="0003008C">
        <w:t xml:space="preserve"> time</w:t>
      </w:r>
      <w:r w:rsidR="00FF6398">
        <w:t>.</w:t>
      </w:r>
    </w:p>
    <w:p w14:paraId="19372624" w14:textId="2AB0F6B9" w:rsidR="00A42B4C" w:rsidRDefault="00A42B4C" w:rsidP="005C0E84">
      <w:pPr>
        <w:pStyle w:val="Heading1"/>
        <w:spacing w:before="240"/>
      </w:pPr>
      <w:r>
        <w:t>Course Description</w:t>
      </w:r>
    </w:p>
    <w:p w14:paraId="5E11294B" w14:textId="6B01E5B1" w:rsidR="005C0E84" w:rsidRPr="00F03920" w:rsidRDefault="005C0E84" w:rsidP="005C0E84">
      <w:pPr>
        <w:spacing w:after="120"/>
      </w:pPr>
      <w:r>
        <w:t xml:space="preserve">In centering “exploitation,” this course calls attention to what are perhaps the two most pressing challenges facing humanity: exploitation of people (lives and labor) resulting in gross global inequities in wealth and power, on the one hand; and exploitation of the Earth (resource extraction and commodification), on the other. Often, the two go hand-in-hand. Nowhere is this more so the case than in the resource frontiers of the Global South—the mines and hardwood forests, </w:t>
      </w:r>
      <w:proofErr w:type="gramStart"/>
      <w:r>
        <w:t>fisheries</w:t>
      </w:r>
      <w:proofErr w:type="gramEnd"/>
      <w:r>
        <w:t xml:space="preserve"> and fields—wherein lies the </w:t>
      </w:r>
      <w:r w:rsidRPr="00BF0EFD">
        <w:t>beating heart of the contemporary global economy</w:t>
      </w:r>
      <w:r>
        <w:t xml:space="preserve">. </w:t>
      </w:r>
      <w:bookmarkStart w:id="0" w:name="_Hlk22369268"/>
      <w:r w:rsidRPr="00BF0EFD">
        <w:t xml:space="preserve">Long viewed </w:t>
      </w:r>
      <w:r>
        <w:t xml:space="preserve">and treated </w:t>
      </w:r>
      <w:r w:rsidRPr="00BF0EFD">
        <w:t xml:space="preserve">as peripheral sites of poverty and extraction, these spaces </w:t>
      </w:r>
      <w:r>
        <w:t xml:space="preserve">are increasingly recognized as central to struggles over </w:t>
      </w:r>
      <w:r w:rsidRPr="00BF0EFD">
        <w:t>environmental protection, sustainability, and democratic economic development</w:t>
      </w:r>
      <w:r>
        <w:t>—to battles over the fundamental character and consequences of modern capitalism</w:t>
      </w:r>
      <w:r w:rsidRPr="00BF0EFD">
        <w:t>.</w:t>
      </w:r>
      <w:bookmarkEnd w:id="0"/>
      <w:r>
        <w:t xml:space="preserve"> In this class, we’ll consider how an ethnographic approach to research—embodied and place-based, sometimes described as “working with and alongside”—might allow for a fuller understanding of such contexts through close study of people and politics, economies and ecosystems, </w:t>
      </w:r>
      <w:proofErr w:type="gramStart"/>
      <w:r>
        <w:t>landscapes</w:t>
      </w:r>
      <w:proofErr w:type="gramEnd"/>
      <w:r>
        <w:t xml:space="preserve"> and livelihoods. In doing so, we will pair readings and discussions about ethnography as a method with recent </w:t>
      </w:r>
      <w:proofErr w:type="gramStart"/>
      <w:r>
        <w:t>ethnographically-informed</w:t>
      </w:r>
      <w:proofErr w:type="gramEnd"/>
      <w:r>
        <w:t xml:space="preserve"> texts about spaces of exploitation/extraction, with a regional focus on Africa. Our overall goal will be to excavate whether and how ethnographic study can help to generate new forms of environmental knowledge, as well as novel understandings of and approaches to reconfiguring dynamics of “exploitation” from local to global contexts.   </w:t>
      </w:r>
    </w:p>
    <w:p w14:paraId="690D5593" w14:textId="1837D0BC" w:rsidR="00A42B4C" w:rsidRDefault="00A42B4C" w:rsidP="00CC323E">
      <w:pPr>
        <w:pStyle w:val="Heading1"/>
      </w:pPr>
      <w:r>
        <w:t>Learning Objectives</w:t>
      </w:r>
    </w:p>
    <w:p w14:paraId="69C8C055" w14:textId="3C0CD4B5" w:rsidR="00EA0577" w:rsidRDefault="00EA0577" w:rsidP="00EA0577">
      <w:r>
        <w:t xml:space="preserve">By the end of the semester, students in this course </w:t>
      </w:r>
      <w:r w:rsidR="002321B4">
        <w:t>will</w:t>
      </w:r>
      <w:r>
        <w:t xml:space="preserve"> be able to:</w:t>
      </w:r>
    </w:p>
    <w:p w14:paraId="143AE749" w14:textId="599D8E76" w:rsidR="00A36650" w:rsidRDefault="005C0E84" w:rsidP="00816F2B">
      <w:pPr>
        <w:pStyle w:val="ListParagraph"/>
        <w:numPr>
          <w:ilvl w:val="0"/>
          <w:numId w:val="6"/>
        </w:numPr>
      </w:pPr>
      <w:r>
        <w:t>Explain what comprises an ethnographic approach to research, and why the ethnographic approach is well suited to the study of particular questions/</w:t>
      </w:r>
      <w:proofErr w:type="gramStart"/>
      <w:r>
        <w:t>contexts</w:t>
      </w:r>
      <w:r w:rsidR="00B06A7B">
        <w:t>;</w:t>
      </w:r>
      <w:proofErr w:type="gramEnd"/>
    </w:p>
    <w:p w14:paraId="03E12282" w14:textId="2657AB52" w:rsidR="007D0587" w:rsidRDefault="00A36650" w:rsidP="00A36650">
      <w:pPr>
        <w:pStyle w:val="ListParagraph"/>
        <w:numPr>
          <w:ilvl w:val="0"/>
          <w:numId w:val="6"/>
        </w:numPr>
      </w:pPr>
      <w:r>
        <w:lastRenderedPageBreak/>
        <w:t>Critically</w:t>
      </w:r>
      <w:r w:rsidR="007D0587">
        <w:t xml:space="preserve"> read and</w:t>
      </w:r>
      <w:r>
        <w:t xml:space="preserve"> analyze </w:t>
      </w:r>
      <w:r w:rsidR="007D0587">
        <w:t>ethnographic writing</w:t>
      </w:r>
      <w:r w:rsidR="000342BD">
        <w:t xml:space="preserve">, and evaluate (presentations of/arguments based in) ethnographic </w:t>
      </w:r>
      <w:proofErr w:type="gramStart"/>
      <w:r w:rsidR="000342BD">
        <w:t>evidence;</w:t>
      </w:r>
      <w:proofErr w:type="gramEnd"/>
    </w:p>
    <w:p w14:paraId="5F5861CD" w14:textId="321E73F7" w:rsidR="000342BD" w:rsidRDefault="000342BD" w:rsidP="00A36650">
      <w:pPr>
        <w:pStyle w:val="ListParagraph"/>
        <w:numPr>
          <w:ilvl w:val="0"/>
          <w:numId w:val="6"/>
        </w:numPr>
      </w:pPr>
      <w:r>
        <w:t xml:space="preserve">Design and conduct an ethnographic study, </w:t>
      </w:r>
      <w:r w:rsidR="00324AF7">
        <w:t xml:space="preserve">collecting data, writing fieldnotes and </w:t>
      </w:r>
      <w:r w:rsidR="009A5190">
        <w:t>ethnographic accounts</w:t>
      </w:r>
      <w:r w:rsidR="00324AF7">
        <w:t xml:space="preserve">, developing </w:t>
      </w:r>
      <w:r w:rsidR="009A5190">
        <w:t xml:space="preserve">and substantiating </w:t>
      </w:r>
      <w:r w:rsidR="00324AF7">
        <w:t xml:space="preserve">claims, and creating a final project to </w:t>
      </w:r>
      <w:r w:rsidR="009A5190">
        <w:t>convey context and findings; and</w:t>
      </w:r>
    </w:p>
    <w:p w14:paraId="4BDE2986" w14:textId="3A5537ED" w:rsidR="00CC323E" w:rsidRPr="00A36650" w:rsidRDefault="009A5190" w:rsidP="00A36650">
      <w:pPr>
        <w:pStyle w:val="ListParagraph"/>
        <w:numPr>
          <w:ilvl w:val="0"/>
          <w:numId w:val="6"/>
        </w:numPr>
        <w:autoSpaceDE w:val="0"/>
        <w:autoSpaceDN w:val="0"/>
        <w:adjustRightInd w:val="0"/>
        <w:spacing w:after="27"/>
        <w:rPr>
          <w:color w:val="000000"/>
        </w:rPr>
      </w:pPr>
      <w:r>
        <w:rPr>
          <w:color w:val="000000"/>
        </w:rPr>
        <w:t>Articulate whether/how/why ethnographic inquiry is especially useful for uncovering (and perhaps countering) the exploitation of people and nature</w:t>
      </w:r>
      <w:r w:rsidR="00A36650" w:rsidRPr="00C30992">
        <w:rPr>
          <w:color w:val="000000"/>
        </w:rPr>
        <w:t>.</w:t>
      </w:r>
    </w:p>
    <w:p w14:paraId="07028E83" w14:textId="490B26D9" w:rsidR="00A42B4C" w:rsidRPr="00001A1A" w:rsidRDefault="00001A1A" w:rsidP="00CC323E">
      <w:pPr>
        <w:pStyle w:val="Heading1"/>
      </w:pPr>
      <w:r w:rsidRPr="00001A1A">
        <w:t xml:space="preserve">Assignments and </w:t>
      </w:r>
      <w:r w:rsidR="00A42B4C" w:rsidRPr="00001A1A">
        <w:t>Assessments</w:t>
      </w:r>
    </w:p>
    <w:p w14:paraId="4FED48D6" w14:textId="450D621D" w:rsidR="00001A1A" w:rsidRDefault="00A42B4C" w:rsidP="00001A1A">
      <w:r>
        <w:t xml:space="preserve">Students will be evaluated </w:t>
      </w:r>
      <w:r w:rsidR="00206F2F">
        <w:t>through a series of assignments/assessments</w:t>
      </w:r>
      <w:r w:rsidR="00D210B8">
        <w:t>, including class attendance/participation, weekly written responses</w:t>
      </w:r>
      <w:r w:rsidR="009E749F">
        <w:t xml:space="preserve">, </w:t>
      </w:r>
      <w:r w:rsidR="003A2AF7">
        <w:t>two research papers, and a final exam</w:t>
      </w:r>
      <w:r w:rsidR="00D210B8">
        <w:t xml:space="preserve">. Details for each of these </w:t>
      </w:r>
      <w:r w:rsidR="00206F2F">
        <w:t xml:space="preserve">(including due dates) </w:t>
      </w:r>
      <w:r w:rsidR="00D210B8">
        <w:t>follow below:</w:t>
      </w:r>
    </w:p>
    <w:p w14:paraId="2BD4DAC8" w14:textId="16FA68F2" w:rsidR="00001A1A" w:rsidRDefault="00001A1A" w:rsidP="00001A1A">
      <w:pPr>
        <w:pStyle w:val="Heading2"/>
      </w:pPr>
      <w:r>
        <w:t xml:space="preserve">Attendance and </w:t>
      </w:r>
      <w:r w:rsidR="00B06A7B">
        <w:t>Discussion</w:t>
      </w:r>
      <w:r>
        <w:t xml:space="preserve"> </w:t>
      </w:r>
      <w:r w:rsidR="00FB2317">
        <w:t xml:space="preserve">Participation/Leadership </w:t>
      </w:r>
      <w:r>
        <w:t>(</w:t>
      </w:r>
      <w:r w:rsidR="00B06A7B">
        <w:t>2</w:t>
      </w:r>
      <w:r>
        <w:t>0% of grade)</w:t>
      </w:r>
    </w:p>
    <w:p w14:paraId="2384927E" w14:textId="57B84710" w:rsidR="00D210B8" w:rsidRDefault="00D210B8" w:rsidP="00D210B8">
      <w:pPr>
        <w:rPr>
          <w:bdr w:val="none" w:sz="0" w:space="0" w:color="auto" w:frame="1"/>
        </w:rPr>
      </w:pPr>
      <w:r>
        <w:rPr>
          <w:bdr w:val="none" w:sz="0" w:space="0" w:color="auto" w:frame="1"/>
        </w:rPr>
        <w:t xml:space="preserve">Attendance and participation are absolutely critical to the success of this </w:t>
      </w:r>
      <w:r w:rsidR="009E749F">
        <w:rPr>
          <w:bdr w:val="none" w:sz="0" w:space="0" w:color="auto" w:frame="1"/>
        </w:rPr>
        <w:t>course</w:t>
      </w:r>
      <w:r>
        <w:rPr>
          <w:bdr w:val="none" w:sz="0" w:space="0" w:color="auto" w:frame="1"/>
        </w:rPr>
        <w:t xml:space="preserve">. </w:t>
      </w:r>
      <w:r w:rsidRPr="00214E42">
        <w:rPr>
          <w:b/>
          <w:bCs/>
          <w:u w:val="single"/>
          <w:bdr w:val="none" w:sz="0" w:space="0" w:color="auto" w:frame="1"/>
        </w:rPr>
        <w:t xml:space="preserve">As such, your presence at all </w:t>
      </w:r>
      <w:r w:rsidR="00DA3341">
        <w:rPr>
          <w:b/>
          <w:bCs/>
          <w:u w:val="single"/>
          <w:bdr w:val="none" w:sz="0" w:space="0" w:color="auto" w:frame="1"/>
        </w:rPr>
        <w:t>class meetings</w:t>
      </w:r>
      <w:r w:rsidR="00343846" w:rsidRPr="00214E42">
        <w:rPr>
          <w:b/>
          <w:bCs/>
          <w:u w:val="single"/>
          <w:bdr w:val="none" w:sz="0" w:space="0" w:color="auto" w:frame="1"/>
        </w:rPr>
        <w:t xml:space="preserve"> </w:t>
      </w:r>
      <w:r w:rsidRPr="00214E42">
        <w:rPr>
          <w:b/>
          <w:bCs/>
          <w:u w:val="single"/>
          <w:bdr w:val="none" w:sz="0" w:space="0" w:color="auto" w:frame="1"/>
        </w:rPr>
        <w:t>is mandatory</w:t>
      </w:r>
      <w:r>
        <w:rPr>
          <w:bdr w:val="none" w:sz="0" w:space="0" w:color="auto" w:frame="1"/>
        </w:rPr>
        <w:t>. If you must be absent because of an emergency or illness, please make every effort to speak with me about it beforehand, if possible, or after the next class. Please notify me of absences due to religious observance or University sporting events as soon as you can, or by the </w:t>
      </w:r>
      <w:r>
        <w:rPr>
          <w:i/>
          <w:iCs/>
          <w:bdr w:val="none" w:sz="0" w:space="0" w:color="auto" w:frame="1"/>
        </w:rPr>
        <w:t>third week of the semester</w:t>
      </w:r>
      <w:r>
        <w:rPr>
          <w:bdr w:val="none" w:sz="0" w:space="0" w:color="auto" w:frame="1"/>
        </w:rPr>
        <w:t xml:space="preserve">. </w:t>
      </w:r>
      <w:r w:rsidR="00312F9E">
        <w:rPr>
          <w:bdr w:val="none" w:sz="0" w:space="0" w:color="auto" w:frame="1"/>
        </w:rPr>
        <w:t>Keep in mind that more than two unexcused absences will begin to affect your final grade.</w:t>
      </w:r>
    </w:p>
    <w:p w14:paraId="3963E31C" w14:textId="1F98BAAC" w:rsidR="00D210B8" w:rsidRDefault="00D210B8" w:rsidP="00D210B8">
      <w:pPr>
        <w:rPr>
          <w:bdr w:val="none" w:sz="0" w:space="0" w:color="auto" w:frame="1"/>
        </w:rPr>
      </w:pPr>
      <w:r>
        <w:rPr>
          <w:bdr w:val="none" w:sz="0" w:space="0" w:color="auto" w:frame="1"/>
        </w:rPr>
        <w:t xml:space="preserve">Moreover, it’s not enough to simply </w:t>
      </w:r>
      <w:r w:rsidR="00431E16">
        <w:rPr>
          <w:bdr w:val="none" w:sz="0" w:space="0" w:color="auto" w:frame="1"/>
        </w:rPr>
        <w:t>show up</w:t>
      </w:r>
      <w:r>
        <w:rPr>
          <w:bdr w:val="none" w:sz="0" w:space="0" w:color="auto" w:frame="1"/>
        </w:rPr>
        <w:t>. While</w:t>
      </w:r>
      <w:r w:rsidR="00FF6398">
        <w:rPr>
          <w:bdr w:val="none" w:sz="0" w:space="0" w:color="auto" w:frame="1"/>
        </w:rPr>
        <w:t xml:space="preserve"> listening</w:t>
      </w:r>
      <w:r>
        <w:rPr>
          <w:bdr w:val="none" w:sz="0" w:space="0" w:color="auto" w:frame="1"/>
        </w:rPr>
        <w:t xml:space="preserve"> to others in the class will of course be essential to cultivating a collaborative atmosphere, </w:t>
      </w:r>
      <w:r w:rsidRPr="006E7605">
        <w:rPr>
          <w:b/>
          <w:bCs/>
          <w:u w:val="single"/>
          <w:bdr w:val="none" w:sz="0" w:space="0" w:color="auto" w:frame="1"/>
        </w:rPr>
        <w:t>you must also verbally contribute to the discussion</w:t>
      </w:r>
      <w:r>
        <w:rPr>
          <w:bdr w:val="none" w:sz="0" w:space="0" w:color="auto" w:frame="1"/>
        </w:rPr>
        <w:t xml:space="preserve"> to demonstrate that you’re doing the reading and paying attention to what’s </w:t>
      </w:r>
      <w:r w:rsidR="00312F9E">
        <w:rPr>
          <w:bdr w:val="none" w:sz="0" w:space="0" w:color="auto" w:frame="1"/>
        </w:rPr>
        <w:t>being said.</w:t>
      </w:r>
    </w:p>
    <w:p w14:paraId="413E1926" w14:textId="4F921EE9" w:rsidR="00FB2317" w:rsidRDefault="00FB2317" w:rsidP="00D210B8">
      <w:pPr>
        <w:rPr>
          <w:bdr w:val="none" w:sz="0" w:space="0" w:color="auto" w:frame="1"/>
        </w:rPr>
      </w:pPr>
      <w:r>
        <w:rPr>
          <w:bdr w:val="none" w:sz="0" w:space="0" w:color="auto" w:frame="1"/>
        </w:rPr>
        <w:t xml:space="preserve">You also will each be required to serve as weekly discussion leader </w:t>
      </w:r>
      <w:r w:rsidRPr="00FB2317">
        <w:rPr>
          <w:b/>
          <w:bCs/>
          <w:u w:val="single"/>
          <w:bdr w:val="none" w:sz="0" w:space="0" w:color="auto" w:frame="1"/>
        </w:rPr>
        <w:t>twice</w:t>
      </w:r>
      <w:r>
        <w:rPr>
          <w:bdr w:val="none" w:sz="0" w:space="0" w:color="auto" w:frame="1"/>
        </w:rPr>
        <w:t xml:space="preserve"> during the semester (once we’ve begun reading longer ethnographic manuscripts). This means that you will be responsible for leading discussion on both Monday and Wednesday of a given week (as we will be discussing one book per week during the latter two-thirds of the semester). I’ll send a sign-up sheet around during the second week of the semester.</w:t>
      </w:r>
    </w:p>
    <w:p w14:paraId="1B8B7328" w14:textId="39A002AC" w:rsidR="00DA3341" w:rsidRPr="00EA600A" w:rsidRDefault="00431E16" w:rsidP="00D210B8">
      <w:r>
        <w:rPr>
          <w:bdr w:val="none" w:sz="0" w:space="0" w:color="auto" w:frame="1"/>
        </w:rPr>
        <w:t>In class</w:t>
      </w:r>
      <w:r w:rsidR="006E7605">
        <w:rPr>
          <w:bdr w:val="none" w:sz="0" w:space="0" w:color="auto" w:frame="1"/>
        </w:rPr>
        <w:t xml:space="preserve">, </w:t>
      </w:r>
      <w:r>
        <w:rPr>
          <w:bdr w:val="none" w:sz="0" w:space="0" w:color="auto" w:frame="1"/>
        </w:rPr>
        <w:t>I</w:t>
      </w:r>
      <w:r w:rsidR="006E7605">
        <w:rPr>
          <w:bdr w:val="none" w:sz="0" w:space="0" w:color="auto" w:frame="1"/>
        </w:rPr>
        <w:t xml:space="preserve"> ask that you </w:t>
      </w:r>
      <w:r w:rsidR="006E7605" w:rsidRPr="00FF6398">
        <w:rPr>
          <w:b/>
          <w:bCs/>
          <w:u w:val="single"/>
          <w:bdr w:val="none" w:sz="0" w:space="0" w:color="auto" w:frame="1"/>
        </w:rPr>
        <w:t>practice the “</w:t>
      </w:r>
      <w:r w:rsidR="006E7605" w:rsidRPr="006E7605">
        <w:rPr>
          <w:b/>
          <w:bCs/>
          <w:u w:val="single"/>
          <w:bdr w:val="none" w:sz="0" w:space="0" w:color="auto" w:frame="1"/>
        </w:rPr>
        <w:t>step up, step back” approach to group discussions</w:t>
      </w:r>
      <w:r w:rsidR="006E7605">
        <w:rPr>
          <w:bdr w:val="none" w:sz="0" w:space="0" w:color="auto" w:frame="1"/>
        </w:rPr>
        <w:t xml:space="preserve">. </w:t>
      </w:r>
      <w:r w:rsidR="006E7605">
        <w:t>If you’re someone who tends to not speak a lot, please try to step up into a role of speaking more. If you tend to speak a lot, please step back into a role of listening more, or soliciting thoughts from your classmates. In either case, you’ll be growing your set of skills.</w:t>
      </w:r>
    </w:p>
    <w:p w14:paraId="17FEE637" w14:textId="2E99A159" w:rsidR="00001A1A" w:rsidRDefault="00001A1A" w:rsidP="00001A1A">
      <w:pPr>
        <w:pStyle w:val="Heading2"/>
      </w:pPr>
      <w:r>
        <w:t>Weekly Reading Responses (</w:t>
      </w:r>
      <w:r w:rsidR="00F15CF8">
        <w:t>20</w:t>
      </w:r>
      <w:r>
        <w:t>% of grade)</w:t>
      </w:r>
    </w:p>
    <w:p w14:paraId="2D82FC2D" w14:textId="3CF38B56" w:rsidR="00001A1A" w:rsidRDefault="005307D4" w:rsidP="00001A1A">
      <w:r>
        <w:t xml:space="preserve">Due each </w:t>
      </w:r>
      <w:r w:rsidR="009E749F">
        <w:t>Wednesday</w:t>
      </w:r>
      <w:r>
        <w:t xml:space="preserve"> </w:t>
      </w:r>
      <w:r w:rsidR="00CD52D0">
        <w:t xml:space="preserve">through </w:t>
      </w:r>
      <w:r w:rsidR="00475736">
        <w:t>C</w:t>
      </w:r>
      <w:r w:rsidR="00CD52D0">
        <w:t xml:space="preserve">anvas </w:t>
      </w:r>
      <w:r>
        <w:t xml:space="preserve">by </w:t>
      </w:r>
      <w:r w:rsidR="009E749F">
        <w:t>10:00 a.m.</w:t>
      </w:r>
      <w:r>
        <w:t xml:space="preserve"> </w:t>
      </w:r>
      <w:r w:rsidR="009E749F">
        <w:t>Eastern</w:t>
      </w:r>
      <w:r>
        <w:t>.</w:t>
      </w:r>
    </w:p>
    <w:p w14:paraId="1058084E" w14:textId="644D84D6" w:rsidR="00BD3B37" w:rsidRPr="00E51ECF" w:rsidRDefault="00CD52D0" w:rsidP="00001A1A">
      <w:r>
        <w:t xml:space="preserve">To help make sure you’re keeping up with </w:t>
      </w:r>
      <w:r w:rsidR="009E749F">
        <w:t xml:space="preserve">assigned readings </w:t>
      </w:r>
      <w:r>
        <w:t>and absorbing re</w:t>
      </w:r>
      <w:r w:rsidR="00475736">
        <w:t xml:space="preserve">lated arguments and critiques, and to provide fodder for our conversations, I’d like you to complete a weekly </w:t>
      </w:r>
      <w:r w:rsidR="00475736">
        <w:lastRenderedPageBreak/>
        <w:t xml:space="preserve">reading response that </w:t>
      </w:r>
      <w:r w:rsidR="00475736" w:rsidRPr="00475736">
        <w:rPr>
          <w:b/>
          <w:bCs/>
          <w:u w:val="single"/>
        </w:rPr>
        <w:t xml:space="preserve">addresses the materials for both </w:t>
      </w:r>
      <w:r w:rsidR="00431E16">
        <w:rPr>
          <w:b/>
          <w:bCs/>
          <w:u w:val="single"/>
        </w:rPr>
        <w:t>class meetings</w:t>
      </w:r>
      <w:r w:rsidR="00475736" w:rsidRPr="00475736">
        <w:rPr>
          <w:b/>
          <w:bCs/>
          <w:u w:val="single"/>
        </w:rPr>
        <w:t xml:space="preserve"> in a given week</w:t>
      </w:r>
      <w:r w:rsidR="00475736">
        <w:t xml:space="preserve">. </w:t>
      </w:r>
      <w:r>
        <w:t>There will be 1</w:t>
      </w:r>
      <w:r w:rsidR="009E749F">
        <w:t>3</w:t>
      </w:r>
      <w:r>
        <w:t xml:space="preserve"> opportunities to complete reading responses. </w:t>
      </w:r>
      <w:r w:rsidRPr="00CD52D0">
        <w:rPr>
          <w:b/>
          <w:bCs/>
          <w:u w:val="single"/>
        </w:rPr>
        <w:t>You’re required to submit 10.</w:t>
      </w:r>
      <w:r w:rsidR="00E51ECF">
        <w:t xml:space="preserve"> </w:t>
      </w:r>
      <w:r w:rsidR="00E51ECF" w:rsidRPr="00B3742D">
        <w:rPr>
          <w:b/>
          <w:bCs/>
        </w:rPr>
        <w:t xml:space="preserve">Responses will be graded on a </w:t>
      </w:r>
      <w:r w:rsidR="00B3742D" w:rsidRPr="00B3742D">
        <w:rPr>
          <w:b/>
          <w:bCs/>
        </w:rPr>
        <w:t>√- , √</w:t>
      </w:r>
      <w:r w:rsidR="00B3742D">
        <w:rPr>
          <w:b/>
          <w:bCs/>
        </w:rPr>
        <w:t xml:space="preserve"> </w:t>
      </w:r>
      <w:r w:rsidR="00B3742D" w:rsidRPr="00B3742D">
        <w:rPr>
          <w:b/>
          <w:bCs/>
        </w:rPr>
        <w:t>, √+ basis</w:t>
      </w:r>
      <w:r w:rsidR="00B3742D">
        <w:t>.</w:t>
      </w:r>
      <w:r w:rsidR="009E749F">
        <w:t xml:space="preserve"> If you submit more than 10, your 10 best scores will be counted.</w:t>
      </w:r>
    </w:p>
    <w:p w14:paraId="26411960" w14:textId="497009C5" w:rsidR="008C26BD" w:rsidRDefault="008C26BD" w:rsidP="00E51ECF">
      <w:r>
        <w:t>Each reading response should be about two paragraphs long. The first paragraph should summarize some of the main ideas/arguments from the reading</w:t>
      </w:r>
      <w:r w:rsidR="001945B1">
        <w:t>(</w:t>
      </w:r>
      <w:r>
        <w:t>s</w:t>
      </w:r>
      <w:r w:rsidR="001945B1">
        <w:t>)</w:t>
      </w:r>
      <w:r>
        <w:t xml:space="preserve"> you’d like to put in conversation with one another. The second should be your own original analysis, </w:t>
      </w:r>
      <w:r w:rsidR="001945B1">
        <w:t>assessing the arguments and evidence, asking whether/how the ethnographic approach is effective in this context</w:t>
      </w:r>
      <w:r>
        <w:t>,</w:t>
      </w:r>
      <w:r w:rsidR="001945B1">
        <w:t xml:space="preserve"> evaluating what the authors do well/less well,</w:t>
      </w:r>
      <w:r>
        <w:t xml:space="preserve"> posing additional questions, etc. </w:t>
      </w:r>
    </w:p>
    <w:p w14:paraId="715EA4E8" w14:textId="3A1A8FB4" w:rsidR="005307D4" w:rsidRDefault="00DA3341" w:rsidP="00001A1A">
      <w:pPr>
        <w:pStyle w:val="Heading2"/>
      </w:pPr>
      <w:r>
        <w:t>Ethnographic Project</w:t>
      </w:r>
      <w:r w:rsidR="00001A1A">
        <w:t xml:space="preserve"> (</w:t>
      </w:r>
      <w:r>
        <w:t>6</w:t>
      </w:r>
      <w:r w:rsidR="00001A1A">
        <w:t>0% of grade</w:t>
      </w:r>
      <w:r w:rsidR="002C1382">
        <w:t>, subdivided as follows</w:t>
      </w:r>
      <w:r w:rsidR="00001A1A">
        <w:t>)</w:t>
      </w:r>
    </w:p>
    <w:p w14:paraId="106810D8" w14:textId="77777777" w:rsidR="00EA600A" w:rsidRDefault="002C1382" w:rsidP="005307D4">
      <w:r>
        <w:t xml:space="preserve">The primary course assignment will be an ethnographic project of students’ own conducted over the length of the semester focused on issues of environmental concern and social justice in Ann Arbor or students’ home communities. The goal is to have students learn to collect, analyze, synthesize, and draw conclusions from different forms of ethnographic evidence. </w:t>
      </w:r>
    </w:p>
    <w:p w14:paraId="75F66E30" w14:textId="540D4AE2" w:rsidR="00EA600A" w:rsidRDefault="00EA600A" w:rsidP="005307D4">
      <w:r>
        <w:t>**WE WILL OF COURSE BE RESPONSIVE TO THE COVID CONTEXT. THERE WILL BE NO EXPECTATIONS OF YOU PUTTING YOURSELF IN SITUATIONS YOU FEEL ARE UNSAFE IN PURSUIT OF ETHNOGRAPHIC STUDY.**</w:t>
      </w:r>
    </w:p>
    <w:p w14:paraId="7B79E6E2" w14:textId="714FF9B0" w:rsidR="002C1382" w:rsidRDefault="002C1382" w:rsidP="005307D4">
      <w:r>
        <w:t>The project will be</w:t>
      </w:r>
      <w:r w:rsidR="00C92E3E">
        <w:t xml:space="preserve"> scaffolded/</w:t>
      </w:r>
      <w:r>
        <w:t>subdivided into four parts, described below:</w:t>
      </w:r>
    </w:p>
    <w:p w14:paraId="37CAFDAF" w14:textId="2B3F980F" w:rsidR="00DA3341" w:rsidRDefault="001945B1" w:rsidP="002C1382">
      <w:pPr>
        <w:pStyle w:val="Heading2"/>
      </w:pPr>
      <w:r>
        <w:t>Project Proposal</w:t>
      </w:r>
      <w:r w:rsidR="00C92E3E">
        <w:t xml:space="preserve"> </w:t>
      </w:r>
      <w:r w:rsidR="00F64789">
        <w:t>(</w:t>
      </w:r>
      <w:r w:rsidR="00C92E3E">
        <w:t xml:space="preserve">and </w:t>
      </w:r>
      <w:r w:rsidR="00F64789">
        <w:t xml:space="preserve">Optional </w:t>
      </w:r>
      <w:r w:rsidR="00C92E3E">
        <w:t>IRB Approval</w:t>
      </w:r>
      <w:r w:rsidR="00F64789">
        <w:t>*)</w:t>
      </w:r>
      <w:r w:rsidR="00E53057">
        <w:t xml:space="preserve"> (10% of grade)</w:t>
      </w:r>
    </w:p>
    <w:p w14:paraId="49C0A3FC" w14:textId="175FB8EF" w:rsidR="00001A1A" w:rsidRDefault="005307D4" w:rsidP="005307D4">
      <w:r>
        <w:t>Due</w:t>
      </w:r>
      <w:r w:rsidR="00963440">
        <w:t xml:space="preserve"> </w:t>
      </w:r>
      <w:r w:rsidR="00EA600A">
        <w:t>Thursday, January 2</w:t>
      </w:r>
      <w:r w:rsidR="00C92E3E">
        <w:t>7</w:t>
      </w:r>
      <w:r w:rsidR="00EA600A">
        <w:t>,</w:t>
      </w:r>
      <w:r>
        <w:t xml:space="preserve"> at </w:t>
      </w:r>
      <w:r w:rsidR="00744F36">
        <w:t>11:59</w:t>
      </w:r>
      <w:r>
        <w:t xml:space="preserve"> p.m. </w:t>
      </w:r>
      <w:r w:rsidR="00744F36">
        <w:t>Eastern</w:t>
      </w:r>
      <w:r>
        <w:t xml:space="preserve"> </w:t>
      </w:r>
    </w:p>
    <w:p w14:paraId="35F492C6" w14:textId="202B335F" w:rsidR="000D6E8E" w:rsidRDefault="006772B6" w:rsidP="00EA600A">
      <w:r>
        <w:t xml:space="preserve">Your </w:t>
      </w:r>
      <w:r w:rsidR="00EA600A">
        <w:t xml:space="preserve">project proposal should serve as </w:t>
      </w:r>
      <w:proofErr w:type="gramStart"/>
      <w:r w:rsidR="00EA600A">
        <w:t>mini-prospectus</w:t>
      </w:r>
      <w:proofErr w:type="gramEnd"/>
      <w:r w:rsidR="008E77DA">
        <w:t>, run about 2-3 pages total, and include the following sections:</w:t>
      </w:r>
    </w:p>
    <w:p w14:paraId="04D79814" w14:textId="144B8A82" w:rsidR="008E77DA" w:rsidRDefault="008E77DA" w:rsidP="008E77DA">
      <w:pPr>
        <w:pStyle w:val="ListParagraph"/>
        <w:numPr>
          <w:ilvl w:val="0"/>
          <w:numId w:val="34"/>
        </w:numPr>
      </w:pPr>
      <w:r>
        <w:t>Research question(s) and statement of interest</w:t>
      </w:r>
    </w:p>
    <w:p w14:paraId="1D1D2609" w14:textId="41E56D7E" w:rsidR="008E77DA" w:rsidRDefault="008E77DA" w:rsidP="008E77DA">
      <w:pPr>
        <w:pStyle w:val="ListParagraph"/>
        <w:numPr>
          <w:ilvl w:val="0"/>
          <w:numId w:val="34"/>
        </w:numPr>
      </w:pPr>
      <w:r>
        <w:t xml:space="preserve">Summary of topic/context </w:t>
      </w:r>
    </w:p>
    <w:p w14:paraId="19A64B06" w14:textId="0EAD0CC2" w:rsidR="008E77DA" w:rsidRDefault="008E77DA" w:rsidP="008E77DA">
      <w:pPr>
        <w:pStyle w:val="ListParagraph"/>
        <w:numPr>
          <w:ilvl w:val="0"/>
          <w:numId w:val="34"/>
        </w:numPr>
      </w:pPr>
      <w:r>
        <w:t>Description of methods and access (explaining feasibility)</w:t>
      </w:r>
    </w:p>
    <w:p w14:paraId="795C728C" w14:textId="5E3AB486" w:rsidR="008E77DA" w:rsidRDefault="008E77DA" w:rsidP="008E77DA">
      <w:pPr>
        <w:pStyle w:val="ListParagraph"/>
        <w:numPr>
          <w:ilvl w:val="0"/>
          <w:numId w:val="34"/>
        </w:numPr>
      </w:pPr>
      <w:r>
        <w:t>Tentative research/fieldwork schedule</w:t>
      </w:r>
    </w:p>
    <w:p w14:paraId="0D2C693A" w14:textId="28C39B80" w:rsidR="008E77DA" w:rsidRDefault="008E77DA" w:rsidP="008E77DA">
      <w:pPr>
        <w:pStyle w:val="ListParagraph"/>
        <w:numPr>
          <w:ilvl w:val="0"/>
          <w:numId w:val="34"/>
        </w:numPr>
      </w:pPr>
      <w:r>
        <w:t xml:space="preserve">Description of final product (e.g. paper, podcast, </w:t>
      </w:r>
      <w:r w:rsidR="00EC16E4">
        <w:t>film, etc.)</w:t>
      </w:r>
    </w:p>
    <w:p w14:paraId="5CF5FB83" w14:textId="76F140A6" w:rsidR="000A4122" w:rsidRDefault="00F64789" w:rsidP="00C92E3E">
      <w:r>
        <w:t xml:space="preserve">*If you think you might want to pursue your topic of study further and/or publish any of your research findings, you’ll need approval </w:t>
      </w:r>
      <w:r w:rsidR="00A37244">
        <w:t>from UM’s Institutional Review Board (IRB</w:t>
      </w:r>
      <w:r>
        <w:t>)</w:t>
      </w:r>
      <w:r w:rsidR="00A37244">
        <w:t xml:space="preserve"> </w:t>
      </w:r>
      <w:r w:rsidR="00A37244" w:rsidRPr="00A37244">
        <w:rPr>
          <w:b/>
          <w:bCs/>
          <w:u w:val="single"/>
        </w:rPr>
        <w:t>before</w:t>
      </w:r>
      <w:r w:rsidR="00A37244">
        <w:t xml:space="preserve"> beginning study of/on/with human subjects. The application and approval process </w:t>
      </w:r>
      <w:proofErr w:type="gramStart"/>
      <w:r w:rsidR="00A37244">
        <w:t>is</w:t>
      </w:r>
      <w:proofErr w:type="gramEnd"/>
      <w:r w:rsidR="00A37244">
        <w:t xml:space="preserve"> described here: </w:t>
      </w:r>
      <w:hyperlink r:id="rId10" w:history="1">
        <w:r w:rsidR="00A37244" w:rsidRPr="00420192">
          <w:rPr>
            <w:rStyle w:val="Hyperlink"/>
          </w:rPr>
          <w:t>https://research-compliance.umich.edu/irb-application-process</w:t>
        </w:r>
      </w:hyperlink>
      <w:r w:rsidR="000A4122">
        <w:t>.</w:t>
      </w:r>
    </w:p>
    <w:p w14:paraId="73314A60" w14:textId="16FE89FA" w:rsidR="00C92E3E" w:rsidRDefault="000A4122" w:rsidP="00C92E3E">
      <w:r>
        <w:t>As part of the</w:t>
      </w:r>
      <w:r w:rsidR="00F64789">
        <w:t xml:space="preserve"> IRB</w:t>
      </w:r>
      <w:r>
        <w:t xml:space="preserve"> approval process, you’ll also need to complete UM’s Program for Education and Evaluation in Responsible Research and Scholarship (PEERRS) course: </w:t>
      </w:r>
      <w:hyperlink r:id="rId11" w:history="1">
        <w:r w:rsidRPr="00420192">
          <w:rPr>
            <w:rStyle w:val="Hyperlink"/>
          </w:rPr>
          <w:t>http://my.research.umich.edu/peerrs/</w:t>
        </w:r>
      </w:hyperlink>
      <w:r>
        <w:t xml:space="preserve"> </w:t>
      </w:r>
      <w:r w:rsidR="00A37244">
        <w:t xml:space="preserve">  </w:t>
      </w:r>
    </w:p>
    <w:p w14:paraId="5E9015D3" w14:textId="43BEBFAD" w:rsidR="005307D4" w:rsidRDefault="002C1382" w:rsidP="00001A1A">
      <w:pPr>
        <w:pStyle w:val="Heading2"/>
      </w:pPr>
      <w:r>
        <w:lastRenderedPageBreak/>
        <w:t>Sample Ethnographic Fieldnotes and Snapshot Account</w:t>
      </w:r>
      <w:r w:rsidR="00001A1A">
        <w:t xml:space="preserve"> (</w:t>
      </w:r>
      <w:r>
        <w:t>1</w:t>
      </w:r>
      <w:r w:rsidR="00001A1A">
        <w:t>0% of grade)</w:t>
      </w:r>
    </w:p>
    <w:p w14:paraId="3ADF66E3" w14:textId="6C1F7F71" w:rsidR="00431E16" w:rsidRDefault="00431E16" w:rsidP="00431E16">
      <w:r>
        <w:t xml:space="preserve">Due </w:t>
      </w:r>
      <w:r w:rsidR="00C92E3E">
        <w:t>Friday, February 25</w:t>
      </w:r>
      <w:r>
        <w:t xml:space="preserve"> at 11:59 p.m. Eastern </w:t>
      </w:r>
    </w:p>
    <w:p w14:paraId="27F6D0C3" w14:textId="116F924C" w:rsidR="00C92E3E" w:rsidRDefault="00C92E3E" w:rsidP="00001A1A">
      <w:r>
        <w:t xml:space="preserve">The point of this </w:t>
      </w:r>
      <w:r w:rsidR="000A4122">
        <w:t xml:space="preserve">assignment is for you to receive feedback on the kinds of notes you’re taking, </w:t>
      </w:r>
      <w:r w:rsidR="00E06F02">
        <w:t xml:space="preserve">and the way you’re using those notes to write up </w:t>
      </w:r>
      <w:proofErr w:type="gramStart"/>
      <w:r w:rsidR="00E06F02">
        <w:t>ethnographically-informed</w:t>
      </w:r>
      <w:proofErr w:type="gramEnd"/>
      <w:r w:rsidR="00E06F02">
        <w:t xml:space="preserve"> accounts of your study context. So, you’ll share a series of notes you’ve collected, as well as a short “snapshot” account you’ve written up to convey something important about your study subjects/context.</w:t>
      </w:r>
    </w:p>
    <w:p w14:paraId="2F0D1F0D" w14:textId="0C5BCE27" w:rsidR="00B06A7B" w:rsidRDefault="002C1382" w:rsidP="00B06A7B">
      <w:pPr>
        <w:pStyle w:val="Heading2"/>
      </w:pPr>
      <w:r>
        <w:t>Class Presentation</w:t>
      </w:r>
      <w:r w:rsidR="00B06A7B">
        <w:t xml:space="preserve"> (</w:t>
      </w:r>
      <w:r>
        <w:t>1</w:t>
      </w:r>
      <w:r w:rsidR="00B06A7B">
        <w:t>0% of grade)</w:t>
      </w:r>
    </w:p>
    <w:p w14:paraId="3D9B4070" w14:textId="79FC7C3C" w:rsidR="00E06F02" w:rsidRDefault="00E06F02" w:rsidP="00E06F02">
      <w:r>
        <w:t xml:space="preserve">Due Monday, April 11 or Wednesday, April 13 in class </w:t>
      </w:r>
    </w:p>
    <w:p w14:paraId="20AA519F" w14:textId="0ACB58DD" w:rsidR="00B06A7B" w:rsidRPr="00B06A7B" w:rsidRDefault="00E06F02" w:rsidP="00B06A7B">
      <w:r>
        <w:t>During the penultimate week of class, each student will give a short (~15-minute) presentation describing their project, context, findings, etc. You’re welcome to use slides, video, or whatever other media you find useful.</w:t>
      </w:r>
    </w:p>
    <w:p w14:paraId="53173617" w14:textId="19CA22BA" w:rsidR="002C1382" w:rsidRDefault="002C1382" w:rsidP="005307D4">
      <w:pPr>
        <w:pStyle w:val="Heading2"/>
      </w:pPr>
      <w:r>
        <w:t>Final Ethnographic Paper/Project (30% of grade)</w:t>
      </w:r>
    </w:p>
    <w:p w14:paraId="23B53CB1" w14:textId="3F4EC48E" w:rsidR="002C1382" w:rsidRDefault="00E06F02" w:rsidP="002C1382">
      <w:r>
        <w:t>Due Tuesday, April 26, at 11:59 p.m. Eastern</w:t>
      </w:r>
    </w:p>
    <w:p w14:paraId="771B9E92" w14:textId="799F4B82" w:rsidR="00FB2317" w:rsidRPr="002C1382" w:rsidRDefault="00E06F02" w:rsidP="002C1382">
      <w:r>
        <w:t xml:space="preserve">Your final </w:t>
      </w:r>
      <w:r w:rsidR="00544E2F">
        <w:t xml:space="preserve">ethnographic </w:t>
      </w:r>
      <w:r>
        <w:t xml:space="preserve">project can take a variety of forms: </w:t>
      </w:r>
      <w:r w:rsidR="00B71DA6">
        <w:t>paper, podcast, film</w:t>
      </w:r>
      <w:r w:rsidR="00E2260F">
        <w:t>, etc</w:t>
      </w:r>
      <w:r w:rsidR="00B71DA6">
        <w:t xml:space="preserve">. </w:t>
      </w:r>
      <w:r w:rsidR="00E2260F">
        <w:t xml:space="preserve">If you opt to write a paper, it should run 12-15 pages (double-spaced, 12-pt font, 1-inch margins). If you opt for an audiovisual </w:t>
      </w:r>
      <w:r w:rsidR="00544E2F">
        <w:t>project, you should include a 3-5 page summary of key claims and reflection on the doing of the ethnography.</w:t>
      </w:r>
    </w:p>
    <w:p w14:paraId="4B1590C1" w14:textId="6EDA9872" w:rsidR="005307D4" w:rsidRDefault="005307D4" w:rsidP="005307D4">
      <w:pPr>
        <w:pStyle w:val="Heading2"/>
      </w:pPr>
      <w:bookmarkStart w:id="1" w:name="_Hlk91753995"/>
      <w:r>
        <w:t>Grading Scale</w:t>
      </w:r>
    </w:p>
    <w:p w14:paraId="4779C6A7" w14:textId="77777777" w:rsidR="00544E2F" w:rsidRDefault="00544E2F" w:rsidP="00544E2F">
      <w:pPr>
        <w:autoSpaceDE w:val="0"/>
        <w:autoSpaceDN w:val="0"/>
        <w:adjustRightInd w:val="0"/>
        <w:spacing w:after="0"/>
        <w:rPr>
          <w:bCs/>
          <w:color w:val="000000"/>
          <w:sz w:val="28"/>
          <w:szCs w:val="28"/>
        </w:rPr>
      </w:pPr>
      <w:r>
        <w:rPr>
          <w:bCs/>
          <w:color w:val="000000"/>
          <w:sz w:val="28"/>
          <w:szCs w:val="28"/>
        </w:rPr>
        <w:t>A</w:t>
      </w:r>
      <w:r>
        <w:rPr>
          <w:bCs/>
          <w:color w:val="000000"/>
          <w:sz w:val="28"/>
          <w:szCs w:val="28"/>
        </w:rPr>
        <w:tab/>
        <w:t>93-100</w:t>
      </w:r>
      <w:r>
        <w:rPr>
          <w:bCs/>
          <w:color w:val="000000"/>
          <w:sz w:val="28"/>
          <w:szCs w:val="28"/>
        </w:rPr>
        <w:tab/>
      </w:r>
      <w:r>
        <w:rPr>
          <w:bCs/>
          <w:color w:val="000000"/>
          <w:sz w:val="28"/>
          <w:szCs w:val="28"/>
        </w:rPr>
        <w:tab/>
        <w:t xml:space="preserve">C+ </w:t>
      </w:r>
      <w:r>
        <w:rPr>
          <w:bCs/>
          <w:color w:val="000000"/>
          <w:sz w:val="28"/>
          <w:szCs w:val="28"/>
        </w:rPr>
        <w:tab/>
        <w:t>77-79</w:t>
      </w:r>
    </w:p>
    <w:p w14:paraId="25C6BD93" w14:textId="77777777" w:rsidR="00544E2F" w:rsidRDefault="00544E2F" w:rsidP="00544E2F">
      <w:pPr>
        <w:autoSpaceDE w:val="0"/>
        <w:autoSpaceDN w:val="0"/>
        <w:adjustRightInd w:val="0"/>
        <w:spacing w:after="0"/>
        <w:rPr>
          <w:bCs/>
          <w:color w:val="000000"/>
          <w:sz w:val="28"/>
          <w:szCs w:val="28"/>
        </w:rPr>
      </w:pPr>
      <w:r>
        <w:rPr>
          <w:bCs/>
          <w:color w:val="000000"/>
          <w:sz w:val="28"/>
          <w:szCs w:val="28"/>
        </w:rPr>
        <w:t xml:space="preserve">A-  </w:t>
      </w:r>
      <w:r>
        <w:rPr>
          <w:bCs/>
          <w:color w:val="000000"/>
          <w:sz w:val="28"/>
          <w:szCs w:val="28"/>
        </w:rPr>
        <w:tab/>
        <w:t>90-92</w:t>
      </w:r>
      <w:r>
        <w:rPr>
          <w:bCs/>
          <w:color w:val="000000"/>
          <w:sz w:val="28"/>
          <w:szCs w:val="28"/>
        </w:rPr>
        <w:tab/>
      </w:r>
      <w:r>
        <w:rPr>
          <w:bCs/>
          <w:color w:val="000000"/>
          <w:sz w:val="28"/>
          <w:szCs w:val="28"/>
        </w:rPr>
        <w:tab/>
      </w:r>
      <w:r>
        <w:rPr>
          <w:bCs/>
          <w:color w:val="000000"/>
          <w:sz w:val="28"/>
          <w:szCs w:val="28"/>
        </w:rPr>
        <w:tab/>
        <w:t xml:space="preserve">C   </w:t>
      </w:r>
      <w:r>
        <w:rPr>
          <w:bCs/>
          <w:color w:val="000000"/>
          <w:sz w:val="28"/>
          <w:szCs w:val="28"/>
        </w:rPr>
        <w:tab/>
        <w:t>73-77</w:t>
      </w:r>
    </w:p>
    <w:p w14:paraId="54638020" w14:textId="77777777" w:rsidR="00544E2F" w:rsidRDefault="00544E2F" w:rsidP="00544E2F">
      <w:pPr>
        <w:autoSpaceDE w:val="0"/>
        <w:autoSpaceDN w:val="0"/>
        <w:adjustRightInd w:val="0"/>
        <w:spacing w:after="0"/>
        <w:rPr>
          <w:bCs/>
          <w:color w:val="000000"/>
          <w:sz w:val="28"/>
          <w:szCs w:val="28"/>
        </w:rPr>
      </w:pPr>
      <w:r>
        <w:rPr>
          <w:bCs/>
          <w:color w:val="000000"/>
          <w:sz w:val="28"/>
          <w:szCs w:val="28"/>
        </w:rPr>
        <w:t xml:space="preserve">B+ </w:t>
      </w:r>
      <w:r>
        <w:rPr>
          <w:bCs/>
          <w:color w:val="000000"/>
          <w:sz w:val="28"/>
          <w:szCs w:val="28"/>
        </w:rPr>
        <w:tab/>
        <w:t>87-89</w:t>
      </w:r>
      <w:r>
        <w:rPr>
          <w:bCs/>
          <w:color w:val="000000"/>
          <w:sz w:val="28"/>
          <w:szCs w:val="28"/>
        </w:rPr>
        <w:tab/>
      </w:r>
      <w:r>
        <w:rPr>
          <w:bCs/>
          <w:color w:val="000000"/>
          <w:sz w:val="28"/>
          <w:szCs w:val="28"/>
        </w:rPr>
        <w:tab/>
      </w:r>
      <w:r>
        <w:rPr>
          <w:bCs/>
          <w:color w:val="000000"/>
          <w:sz w:val="28"/>
          <w:szCs w:val="28"/>
        </w:rPr>
        <w:tab/>
        <w:t xml:space="preserve">C- </w:t>
      </w:r>
      <w:r>
        <w:rPr>
          <w:bCs/>
          <w:color w:val="000000"/>
          <w:sz w:val="28"/>
          <w:szCs w:val="28"/>
        </w:rPr>
        <w:tab/>
        <w:t>70-72</w:t>
      </w:r>
    </w:p>
    <w:p w14:paraId="08372FA8" w14:textId="77777777" w:rsidR="00544E2F" w:rsidRDefault="00544E2F" w:rsidP="00544E2F">
      <w:pPr>
        <w:autoSpaceDE w:val="0"/>
        <w:autoSpaceDN w:val="0"/>
        <w:adjustRightInd w:val="0"/>
        <w:spacing w:after="0"/>
        <w:rPr>
          <w:bCs/>
          <w:color w:val="000000"/>
          <w:sz w:val="28"/>
          <w:szCs w:val="28"/>
        </w:rPr>
      </w:pPr>
      <w:r>
        <w:rPr>
          <w:bCs/>
          <w:color w:val="000000"/>
          <w:sz w:val="28"/>
          <w:szCs w:val="28"/>
        </w:rPr>
        <w:t xml:space="preserve">B   </w:t>
      </w:r>
      <w:r>
        <w:rPr>
          <w:bCs/>
          <w:color w:val="000000"/>
          <w:sz w:val="28"/>
          <w:szCs w:val="28"/>
        </w:rPr>
        <w:tab/>
        <w:t>83-86</w:t>
      </w:r>
      <w:r>
        <w:rPr>
          <w:bCs/>
          <w:color w:val="000000"/>
          <w:sz w:val="28"/>
          <w:szCs w:val="28"/>
        </w:rPr>
        <w:tab/>
      </w:r>
      <w:r>
        <w:rPr>
          <w:bCs/>
          <w:color w:val="000000"/>
          <w:sz w:val="28"/>
          <w:szCs w:val="28"/>
        </w:rPr>
        <w:tab/>
      </w:r>
      <w:r>
        <w:rPr>
          <w:bCs/>
          <w:color w:val="000000"/>
          <w:sz w:val="28"/>
          <w:szCs w:val="28"/>
        </w:rPr>
        <w:tab/>
        <w:t>D</w:t>
      </w:r>
      <w:r>
        <w:rPr>
          <w:bCs/>
          <w:color w:val="000000"/>
          <w:sz w:val="28"/>
          <w:szCs w:val="28"/>
        </w:rPr>
        <w:tab/>
        <w:t>60-69</w:t>
      </w:r>
    </w:p>
    <w:p w14:paraId="482C0650" w14:textId="77777777" w:rsidR="00544E2F" w:rsidRDefault="00544E2F" w:rsidP="00544E2F">
      <w:pPr>
        <w:autoSpaceDE w:val="0"/>
        <w:autoSpaceDN w:val="0"/>
        <w:adjustRightInd w:val="0"/>
        <w:spacing w:after="0"/>
        <w:rPr>
          <w:bCs/>
          <w:color w:val="000000"/>
          <w:sz w:val="28"/>
          <w:szCs w:val="28"/>
        </w:rPr>
      </w:pPr>
      <w:r>
        <w:rPr>
          <w:bCs/>
          <w:color w:val="000000"/>
          <w:sz w:val="28"/>
          <w:szCs w:val="28"/>
        </w:rPr>
        <w:t xml:space="preserve">B-  </w:t>
      </w:r>
      <w:r>
        <w:rPr>
          <w:bCs/>
          <w:color w:val="000000"/>
          <w:sz w:val="28"/>
          <w:szCs w:val="28"/>
        </w:rPr>
        <w:tab/>
        <w:t>80-82</w:t>
      </w:r>
      <w:r>
        <w:rPr>
          <w:bCs/>
          <w:color w:val="000000"/>
          <w:sz w:val="28"/>
          <w:szCs w:val="28"/>
        </w:rPr>
        <w:tab/>
      </w:r>
      <w:r>
        <w:rPr>
          <w:bCs/>
          <w:color w:val="000000"/>
          <w:sz w:val="28"/>
          <w:szCs w:val="28"/>
        </w:rPr>
        <w:tab/>
      </w:r>
      <w:r>
        <w:rPr>
          <w:bCs/>
          <w:color w:val="000000"/>
          <w:sz w:val="28"/>
          <w:szCs w:val="28"/>
        </w:rPr>
        <w:tab/>
        <w:t>E</w:t>
      </w:r>
      <w:r>
        <w:rPr>
          <w:bCs/>
          <w:color w:val="000000"/>
          <w:sz w:val="28"/>
          <w:szCs w:val="28"/>
        </w:rPr>
        <w:tab/>
        <w:t xml:space="preserve">&lt; 60 </w:t>
      </w:r>
    </w:p>
    <w:p w14:paraId="5BFB1370" w14:textId="77777777" w:rsidR="00544E2F" w:rsidRPr="00206F2F" w:rsidRDefault="00544E2F" w:rsidP="00544E2F">
      <w:pPr>
        <w:autoSpaceDE w:val="0"/>
        <w:autoSpaceDN w:val="0"/>
        <w:adjustRightInd w:val="0"/>
        <w:spacing w:after="0"/>
        <w:rPr>
          <w:bCs/>
          <w:color w:val="000000"/>
          <w:sz w:val="20"/>
          <w:szCs w:val="20"/>
        </w:rPr>
      </w:pPr>
    </w:p>
    <w:p w14:paraId="25DED3B7" w14:textId="757F75DF" w:rsidR="003A4FF8" w:rsidRDefault="00544E2F" w:rsidP="00CD52D0">
      <w:pPr>
        <w:spacing w:after="0"/>
        <w:rPr>
          <w:bCs/>
          <w:color w:val="000000"/>
          <w:sz w:val="28"/>
          <w:szCs w:val="28"/>
        </w:rPr>
      </w:pPr>
      <w:r>
        <w:t>Note that the University has discontinued the “No Record COVID (NRC)” option.</w:t>
      </w:r>
    </w:p>
    <w:p w14:paraId="4F6E238B" w14:textId="3285BCE3" w:rsidR="005307D4" w:rsidRDefault="005307D4" w:rsidP="005307D4">
      <w:pPr>
        <w:pStyle w:val="Heading2"/>
      </w:pPr>
      <w:r>
        <w:t>Deadlines</w:t>
      </w:r>
      <w:r w:rsidR="00B61F04">
        <w:t xml:space="preserve">, </w:t>
      </w:r>
      <w:r>
        <w:t>Extension</w:t>
      </w:r>
      <w:r w:rsidR="00B61F04">
        <w:t xml:space="preserve"> Request</w:t>
      </w:r>
      <w:r>
        <w:t>s</w:t>
      </w:r>
      <w:r w:rsidR="00B61F04">
        <w:t>, and Grade Appeals</w:t>
      </w:r>
    </w:p>
    <w:p w14:paraId="2D225B45" w14:textId="63F18B77" w:rsidR="00F81ABB" w:rsidRDefault="00312F9E" w:rsidP="00B61F04">
      <w:r>
        <w:t>Deadlines are important. They provide structure, and motivation, and are meant to allow me to give you thorough feedback on your work so that you’re able to improve before the next assignment is due. That being said—we</w:t>
      </w:r>
      <w:r w:rsidR="00B61F04">
        <w:t>’re all humans living through extraordinary times. As such, i</w:t>
      </w:r>
      <w:r>
        <w:t>f the deadline</w:t>
      </w:r>
      <w:r w:rsidR="00B61F04">
        <w:t>s</w:t>
      </w:r>
      <w:r>
        <w:t xml:space="preserve"> for</w:t>
      </w:r>
      <w:r w:rsidR="00B61F04">
        <w:t xml:space="preserve"> any </w:t>
      </w:r>
      <w:r w:rsidR="00B61F04" w:rsidRPr="00B61F04">
        <w:t>assignments (especially</w:t>
      </w:r>
      <w:r w:rsidRPr="00B61F04">
        <w:t xml:space="preserve"> the mid-term or final paper</w:t>
      </w:r>
      <w:r w:rsidR="00B61F04" w:rsidRPr="00B61F04">
        <w:t>s)</w:t>
      </w:r>
      <w:r w:rsidRPr="00B61F04">
        <w:t xml:space="preserve"> becomes difficult for you to meet, please use the template below to </w:t>
      </w:r>
      <w:r w:rsidR="00B61F04" w:rsidRPr="00B61F04">
        <w:t xml:space="preserve">let me know what’s up, and to </w:t>
      </w:r>
      <w:r w:rsidRPr="00B61F04">
        <w:t>propose an alternative submission date:</w:t>
      </w:r>
    </w:p>
    <w:p w14:paraId="44804599" w14:textId="07FAD19B" w:rsidR="000A38B4" w:rsidRDefault="000A38B4" w:rsidP="00B61F04"/>
    <w:p w14:paraId="53866051" w14:textId="2F497C8B" w:rsidR="00312F9E" w:rsidRPr="00B61F04" w:rsidRDefault="00312F9E" w:rsidP="00312F9E">
      <w:pPr>
        <w:pStyle w:val="NormalWeb"/>
        <w:shd w:val="clear" w:color="auto" w:fill="FFFFFF"/>
        <w:spacing w:before="0" w:beforeAutospacing="0" w:after="240" w:afterAutospacing="0"/>
        <w:ind w:firstLine="720"/>
        <w:rPr>
          <w:sz w:val="28"/>
          <w:szCs w:val="28"/>
        </w:rPr>
      </w:pPr>
      <w:r w:rsidRPr="00B61F04">
        <w:lastRenderedPageBreak/>
        <w:t>Dear Professor Klein,</w:t>
      </w:r>
    </w:p>
    <w:p w14:paraId="6529D4DF" w14:textId="1082E904" w:rsidR="00312F9E" w:rsidRPr="00B61F04" w:rsidRDefault="00312F9E" w:rsidP="00312F9E">
      <w:pPr>
        <w:pStyle w:val="NormalWeb"/>
        <w:shd w:val="clear" w:color="auto" w:fill="FFFFFF"/>
        <w:spacing w:before="240" w:beforeAutospacing="0" w:after="240" w:afterAutospacing="0"/>
        <w:ind w:left="720"/>
        <w:rPr>
          <w:sz w:val="28"/>
          <w:szCs w:val="28"/>
        </w:rPr>
      </w:pPr>
      <w:r w:rsidRPr="00B61F04">
        <w:t>I’m writing to ask for an extension on [ASSIGNMENT]</w:t>
      </w:r>
      <w:r w:rsidR="00FF6398">
        <w:t>, normally</w:t>
      </w:r>
      <w:r w:rsidRPr="00B61F04">
        <w:t xml:space="preserve"> due</w:t>
      </w:r>
      <w:r w:rsidR="00FF6398">
        <w:t xml:space="preserve"> on</w:t>
      </w:r>
      <w:r w:rsidRPr="00B61F04">
        <w:t xml:space="preserve"> [FORMAL DUE DATE]. I would like to propose that I submit my completed assignment on [NEW DATE THAT WORKS FOR YOU] by [PRECISE TIME e.g. 5 p.m. EST]. The reason I am requesting this extension is because of [YOUR REASON</w:t>
      </w:r>
      <w:r w:rsidR="00261DB8">
        <w:t>, whatever you are comfortable sharing</w:t>
      </w:r>
      <w:r w:rsidRPr="00B61F04">
        <w:t>].</w:t>
      </w:r>
    </w:p>
    <w:p w14:paraId="10D859DD" w14:textId="740CEF69" w:rsidR="00312F9E" w:rsidRPr="00B61F04" w:rsidRDefault="00312F9E" w:rsidP="00312F9E">
      <w:pPr>
        <w:pStyle w:val="NormalWeb"/>
        <w:shd w:val="clear" w:color="auto" w:fill="FFFFFF"/>
        <w:spacing w:before="240" w:beforeAutospacing="0" w:after="240" w:afterAutospacing="0"/>
        <w:ind w:firstLine="720"/>
        <w:rPr>
          <w:sz w:val="28"/>
          <w:szCs w:val="28"/>
        </w:rPr>
      </w:pPr>
      <w:r w:rsidRPr="00B61F04">
        <w:t>Thank you for your consideration, and please let me know if this is acceptable.</w:t>
      </w:r>
    </w:p>
    <w:p w14:paraId="56FC2782" w14:textId="77777777" w:rsidR="00312F9E" w:rsidRPr="00B61F04" w:rsidRDefault="00312F9E" w:rsidP="00312F9E">
      <w:pPr>
        <w:pStyle w:val="NormalWeb"/>
        <w:shd w:val="clear" w:color="auto" w:fill="FFFFFF"/>
        <w:spacing w:before="240" w:beforeAutospacing="0" w:after="240" w:afterAutospacing="0"/>
        <w:ind w:firstLine="720"/>
        <w:rPr>
          <w:sz w:val="28"/>
          <w:szCs w:val="28"/>
        </w:rPr>
      </w:pPr>
      <w:r w:rsidRPr="00B61F04">
        <w:t>Best,</w:t>
      </w:r>
    </w:p>
    <w:p w14:paraId="585CB725" w14:textId="15C1312E" w:rsidR="00312F9E" w:rsidRDefault="00312F9E" w:rsidP="00B61F04">
      <w:pPr>
        <w:pStyle w:val="NormalWeb"/>
        <w:shd w:val="clear" w:color="auto" w:fill="FFFFFF"/>
        <w:spacing w:before="0" w:beforeAutospacing="0" w:after="0" w:afterAutospacing="0"/>
        <w:ind w:firstLine="720"/>
      </w:pPr>
      <w:r w:rsidRPr="00B61F04">
        <w:t>[YOUR NAME]</w:t>
      </w:r>
    </w:p>
    <w:p w14:paraId="2F8864E3" w14:textId="77777777" w:rsidR="00B61F04" w:rsidRPr="00B61F04" w:rsidRDefault="00B61F04" w:rsidP="00B61F04">
      <w:pPr>
        <w:pStyle w:val="NormalWeb"/>
        <w:shd w:val="clear" w:color="auto" w:fill="FFFFFF"/>
        <w:spacing w:before="0" w:beforeAutospacing="0" w:after="0" w:afterAutospacing="0"/>
        <w:ind w:firstLine="720"/>
        <w:rPr>
          <w:sz w:val="28"/>
          <w:szCs w:val="28"/>
        </w:rPr>
      </w:pPr>
    </w:p>
    <w:p w14:paraId="4684A6E1" w14:textId="4F0B2D33" w:rsidR="00B61F04" w:rsidRDefault="00B61F04" w:rsidP="00B61F04">
      <w:r>
        <w:t xml:space="preserve">If you would like to appeal a grade, please wait a minimum of 48 hours, review your work and my comments, and then provide to me in writing </w:t>
      </w:r>
      <w:r w:rsidR="00261DB8">
        <w:t>via e-mail</w:t>
      </w:r>
      <w:r>
        <w:t xml:space="preserve"> an </w:t>
      </w:r>
      <w:r w:rsidRPr="00B61F04">
        <w:rPr>
          <w:i/>
          <w:iCs/>
        </w:rPr>
        <w:t>academic</w:t>
      </w:r>
      <w:r>
        <w:t xml:space="preserve"> justification for a grade revision along with the original paper for me to reference. We will arrange a time to meet to discuss your situation. Please note that your grade may be </w:t>
      </w:r>
      <w:r w:rsidRPr="00DD1332">
        <w:rPr>
          <w:i/>
          <w:iCs/>
        </w:rPr>
        <w:t>raised, lowered, or not changed</w:t>
      </w:r>
      <w:r>
        <w:t xml:space="preserve"> after my reevaluation. </w:t>
      </w:r>
      <w:r w:rsidRPr="00B61F04">
        <w:rPr>
          <w:b/>
          <w:bCs/>
          <w:u w:val="single"/>
        </w:rPr>
        <w:t>Requests to review grades will not be honored later than one week after grades are given.</w:t>
      </w:r>
    </w:p>
    <w:p w14:paraId="053DDCC6" w14:textId="0335EAFD" w:rsidR="00A42B4C" w:rsidRDefault="00D210B8" w:rsidP="00CC323E">
      <w:pPr>
        <w:pStyle w:val="Heading1"/>
      </w:pPr>
      <w:r>
        <w:t xml:space="preserve">Other </w:t>
      </w:r>
      <w:r w:rsidR="00A42B4C">
        <w:t xml:space="preserve">Course Policies </w:t>
      </w:r>
      <w:r w:rsidR="00A42B4C" w:rsidRPr="00CC323E">
        <w:t>and</w:t>
      </w:r>
      <w:r w:rsidR="00A42B4C">
        <w:t xml:space="preserve"> Resources</w:t>
      </w:r>
    </w:p>
    <w:p w14:paraId="21723D96" w14:textId="77777777" w:rsidR="00324AF7" w:rsidRDefault="00324AF7" w:rsidP="00324AF7">
      <w:pPr>
        <w:pStyle w:val="Heading2"/>
      </w:pPr>
      <w:r>
        <w:t>College in the Time of COVID-19</w:t>
      </w:r>
    </w:p>
    <w:p w14:paraId="36B15C5D" w14:textId="73430A2C" w:rsidR="00324AF7" w:rsidRPr="00703DA1" w:rsidRDefault="00324AF7" w:rsidP="00324AF7">
      <w:pPr>
        <w:pStyle w:val="NormalWeb"/>
        <w:shd w:val="clear" w:color="auto" w:fill="FFFFFF"/>
        <w:spacing w:before="0" w:beforeAutospacing="0" w:after="150" w:afterAutospacing="0"/>
      </w:pPr>
      <w:r>
        <w:t xml:space="preserve">The University has mandated vaccination (+ booster) and indoor mask-wearing </w:t>
      </w:r>
      <w:r w:rsidRPr="00703DA1">
        <w:t>in order to minimize the risk of transmitting COVID-19 within our community. We are each responsible for protecting the collective health of all members of this campus by being mindful and respectful in carrying out the guidelines laid out in our </w:t>
      </w:r>
      <w:hyperlink r:id="rId12" w:anchor="wolverine-culture-of-care" w:history="1">
        <w:r w:rsidRPr="00703DA1">
          <w:rPr>
            <w:rStyle w:val="Hyperlink"/>
            <w:color w:val="0070C0"/>
            <w:bdr w:val="none" w:sz="0" w:space="0" w:color="auto" w:frame="1"/>
          </w:rPr>
          <w:t>Wolverine Culture of Care</w:t>
        </w:r>
      </w:hyperlink>
      <w:r w:rsidRPr="00703DA1">
        <w:t> and th</w:t>
      </w:r>
      <w:r>
        <w:t xml:space="preserve">e </w:t>
      </w:r>
      <w:hyperlink r:id="rId13" w:history="1">
        <w:r w:rsidRPr="00703DA1">
          <w:rPr>
            <w:rStyle w:val="Hyperlink"/>
            <w:color w:val="0070C0"/>
            <w:bdr w:val="none" w:sz="0" w:space="0" w:color="auto" w:frame="1"/>
          </w:rPr>
          <w:t>University’s Face Covering Policy for COVID-19</w:t>
        </w:r>
      </w:hyperlink>
      <w:r w:rsidRPr="00703DA1">
        <w:t>. Individuals seeking to request an accommodation related to the face covering requirement under the Americans with Disabilities Act should contact the </w:t>
      </w:r>
      <w:hyperlink r:id="rId14" w:history="1">
        <w:r w:rsidRPr="00703DA1">
          <w:rPr>
            <w:rStyle w:val="Hyperlink"/>
            <w:color w:val="0070C0"/>
            <w:bdr w:val="none" w:sz="0" w:space="0" w:color="auto" w:frame="1"/>
          </w:rPr>
          <w:t>Office for Institutional Equity</w:t>
        </w:r>
      </w:hyperlink>
      <w:r w:rsidRPr="00703DA1">
        <w:t>.</w:t>
      </w:r>
    </w:p>
    <w:p w14:paraId="4D313074" w14:textId="77777777" w:rsidR="00324AF7" w:rsidRPr="00703DA1" w:rsidRDefault="00324AF7" w:rsidP="00324AF7">
      <w:pPr>
        <w:pStyle w:val="NormalWeb"/>
        <w:shd w:val="clear" w:color="auto" w:fill="FFFFFF"/>
        <w:spacing w:before="0" w:beforeAutospacing="0" w:after="150" w:afterAutospacing="0"/>
      </w:pPr>
      <w:r w:rsidRPr="00703DA1">
        <w:t>In our classrooms all students are expected to adhere to the required safety measures and guidelines of the State of Michigan and the University of Michigan, wearing a face covering that covers the mouth and nose in all classrooms, and not coming to class when ill or in quarantine. It is important to also be thoughtful about group gatherings as well as about classroom activities and exercises that require collaboration. </w:t>
      </w:r>
    </w:p>
    <w:p w14:paraId="731CB5B8" w14:textId="77777777" w:rsidR="00324AF7" w:rsidRPr="00703DA1" w:rsidRDefault="00324AF7" w:rsidP="00324AF7">
      <w:pPr>
        <w:pStyle w:val="NormalWeb"/>
        <w:shd w:val="clear" w:color="auto" w:fill="FFFFFF"/>
        <w:spacing w:before="0" w:beforeAutospacing="0" w:after="150" w:afterAutospacing="0"/>
      </w:pPr>
      <w:r w:rsidRPr="00703DA1">
        <w:t>Any student who is not able and willing to comply with campus safety measures for this in-person course should contact me (the instructor) or their academic advisor to discuss alternate participation or course options. Students who do not adhere to these safety measures while in a face-to-face class setting (and do not have an approved exception or accommodation) will be asked to disenroll from the class.</w:t>
      </w:r>
    </w:p>
    <w:p w14:paraId="2F743D0B" w14:textId="77777777" w:rsidR="00324AF7" w:rsidRPr="00703DA1" w:rsidRDefault="00324AF7" w:rsidP="00324AF7">
      <w:pPr>
        <w:pStyle w:val="NormalWeb"/>
        <w:shd w:val="clear" w:color="auto" w:fill="FFFFFF"/>
        <w:spacing w:before="0" w:beforeAutospacing="0" w:after="150" w:afterAutospacing="0"/>
      </w:pPr>
      <w:r w:rsidRPr="00703DA1">
        <w:lastRenderedPageBreak/>
        <w:t>For additional information refer to the </w:t>
      </w:r>
      <w:hyperlink r:id="rId15" w:history="1">
        <w:r w:rsidRPr="00703DA1">
          <w:rPr>
            <w:rStyle w:val="Hyperlink"/>
            <w:color w:val="0070C0"/>
            <w:bdr w:val="none" w:sz="0" w:space="0" w:color="auto" w:frame="1"/>
          </w:rPr>
          <w:t>LSA Student Commitment to the Wolverine Culture of Care</w:t>
        </w:r>
      </w:hyperlink>
      <w:r w:rsidRPr="00703DA1">
        <w:t> and the OSCR Addendum to the Statement of Student Rights and Responsibilities on the </w:t>
      </w:r>
      <w:hyperlink r:id="rId16" w:history="1">
        <w:r w:rsidRPr="00703DA1">
          <w:rPr>
            <w:rStyle w:val="Hyperlink"/>
            <w:color w:val="0070C0"/>
            <w:bdr w:val="none" w:sz="0" w:space="0" w:color="auto" w:frame="1"/>
          </w:rPr>
          <w:t>OSCR website</w:t>
        </w:r>
      </w:hyperlink>
      <w:r w:rsidRPr="00703DA1">
        <w:t>.</w:t>
      </w:r>
    </w:p>
    <w:p w14:paraId="1956A9BD" w14:textId="77777777" w:rsidR="00324AF7" w:rsidRPr="00703DA1" w:rsidRDefault="00324AF7" w:rsidP="00324AF7">
      <w:r w:rsidRPr="00703DA1">
        <w:t xml:space="preserve">Given everything going on around us, </w:t>
      </w:r>
      <w:r w:rsidRPr="00703DA1">
        <w:rPr>
          <w:b/>
          <w:bCs/>
          <w:u w:val="single"/>
        </w:rPr>
        <w:t>communication is going to be key to our success</w:t>
      </w:r>
      <w:r w:rsidRPr="00703DA1">
        <w:t>. Please notify me as soon as possible if you have concerns about your health affecting your progress and success in this class, whether pertaining to COVID-19 or any other circumstance. I also recognize that a dependent, cohabitant, or family member (genetic or chosen) becoming ill can negatively affect your performance in this class, and that the pervasiveness of such stress/grief during this public health crisis calls for more compassion and flexibility, not less. Wherever possible and warranted, I am committed to working with you to support your success in this class through modifications ranging from minor extensions to a grade of Incomplete in the course, with a plan to complete core requirements of the course after recovery.</w:t>
      </w:r>
    </w:p>
    <w:p w14:paraId="2CBA69DD" w14:textId="77777777" w:rsidR="00324AF7" w:rsidRPr="00703DA1" w:rsidRDefault="00324AF7" w:rsidP="00324AF7">
      <w:r w:rsidRPr="00703DA1">
        <w:t>In short, there’s a global pandemic going on. None of us are really OK. If you tell me you’re having trouble, I’m not going to judge you or think less of you. I hope you’ll extend me the same grace.</w:t>
      </w:r>
    </w:p>
    <w:p w14:paraId="067C1197" w14:textId="77777777" w:rsidR="00324AF7" w:rsidRPr="00214E42" w:rsidRDefault="00324AF7" w:rsidP="00324AF7">
      <w:pPr>
        <w:pStyle w:val="Heading2"/>
      </w:pPr>
      <w:r>
        <w:t>Inclusivity</w:t>
      </w:r>
      <w:r w:rsidRPr="00214E42">
        <w:t xml:space="preserve"> and Universal Learnin</w:t>
      </w:r>
      <w:r>
        <w:t>g</w:t>
      </w:r>
    </w:p>
    <w:p w14:paraId="60BB7A36" w14:textId="77777777" w:rsidR="00324AF7" w:rsidRDefault="00324AF7" w:rsidP="00324AF7">
      <w:pPr>
        <w:rPr>
          <w:color w:val="3A3A3A"/>
        </w:rPr>
      </w:pPr>
      <w:r>
        <w:rPr>
          <w:bdr w:val="none" w:sz="0" w:space="0" w:color="auto" w:frame="1"/>
        </w:rPr>
        <w:t>I am committed to our classroom being an inclusive space, and to upholding the principle of universal learning. This means that we must demonstrate mutual respect, civility, and the ability to listen and observe others carefully through our practices and interactions. Active, thoughtful, and respectful participation in all aspects of the course will make our time together as productive and engaging as possible. I will give you midterm feedback on your participation upon request.</w:t>
      </w:r>
    </w:p>
    <w:p w14:paraId="134C57D7" w14:textId="77777777" w:rsidR="00324AF7" w:rsidRDefault="00324AF7" w:rsidP="00324AF7">
      <w:pPr>
        <w:rPr>
          <w:color w:val="3A3A3A"/>
        </w:rPr>
      </w:pPr>
      <w:r>
        <w:rPr>
          <w:bdr w:val="none" w:sz="0" w:space="0" w:color="auto" w:frame="1"/>
        </w:rPr>
        <w:t>If you have a particular need, please arrange a meeting with me so I can best help you learn in this course. I will treat as private and confidential any information that you share. I also suggest you contact Services for Students with Disabilities (SSD) at the start of the semester. Please ask SSD to forward any necessary information to me.</w:t>
      </w:r>
    </w:p>
    <w:p w14:paraId="72D28DFF" w14:textId="77777777" w:rsidR="00324AF7" w:rsidRDefault="00324AF7" w:rsidP="00324AF7">
      <w:pPr>
        <w:rPr>
          <w:color w:val="3A3A3A"/>
        </w:rPr>
      </w:pPr>
      <w:r>
        <w:rPr>
          <w:bdr w:val="none" w:sz="0" w:space="0" w:color="auto" w:frame="1"/>
        </w:rPr>
        <w:t>Here is the contact information for Services for Students with Disabilities:</w:t>
      </w:r>
    </w:p>
    <w:p w14:paraId="129E6700" w14:textId="77777777" w:rsidR="00324AF7" w:rsidRPr="00214E42" w:rsidRDefault="00324AF7" w:rsidP="00324AF7">
      <w:pPr>
        <w:pStyle w:val="ListParagraph"/>
        <w:numPr>
          <w:ilvl w:val="0"/>
          <w:numId w:val="4"/>
        </w:numPr>
        <w:spacing w:after="0"/>
        <w:rPr>
          <w:color w:val="3A3A3A"/>
        </w:rPr>
      </w:pPr>
      <w:r w:rsidRPr="00214E42">
        <w:rPr>
          <w:bdr w:val="none" w:sz="0" w:space="0" w:color="auto" w:frame="1"/>
        </w:rPr>
        <w:t>Location: G-664 Haven Hall</w:t>
      </w:r>
    </w:p>
    <w:p w14:paraId="61E22C1C" w14:textId="77777777" w:rsidR="00324AF7" w:rsidRPr="00214E42" w:rsidRDefault="00324AF7" w:rsidP="00324AF7">
      <w:pPr>
        <w:pStyle w:val="ListParagraph"/>
        <w:numPr>
          <w:ilvl w:val="0"/>
          <w:numId w:val="4"/>
        </w:numPr>
        <w:spacing w:after="0"/>
        <w:rPr>
          <w:color w:val="3A3A3A"/>
        </w:rPr>
      </w:pPr>
      <w:r w:rsidRPr="00214E42">
        <w:rPr>
          <w:bdr w:val="none" w:sz="0" w:space="0" w:color="auto" w:frame="1"/>
        </w:rPr>
        <w:t>Phone: (734) 763-3000</w:t>
      </w:r>
    </w:p>
    <w:p w14:paraId="3CC32875" w14:textId="77777777" w:rsidR="00324AF7" w:rsidRPr="00214E42" w:rsidRDefault="00324AF7" w:rsidP="00324AF7">
      <w:pPr>
        <w:pStyle w:val="ListParagraph"/>
        <w:numPr>
          <w:ilvl w:val="0"/>
          <w:numId w:val="4"/>
        </w:numPr>
        <w:spacing w:after="0"/>
        <w:rPr>
          <w:color w:val="3A3A3A"/>
        </w:rPr>
      </w:pPr>
      <w:r w:rsidRPr="00214E42">
        <w:rPr>
          <w:bdr w:val="none" w:sz="0" w:space="0" w:color="auto" w:frame="1"/>
        </w:rPr>
        <w:t>Website: </w:t>
      </w:r>
      <w:hyperlink r:id="rId17" w:history="1">
        <w:r w:rsidRPr="00214E42">
          <w:rPr>
            <w:rStyle w:val="Hyperlink"/>
            <w:color w:val="0E94BA"/>
            <w:bdr w:val="none" w:sz="0" w:space="0" w:color="auto" w:frame="1"/>
          </w:rPr>
          <w:t>http://ssd.umich.edu/</w:t>
        </w:r>
      </w:hyperlink>
    </w:p>
    <w:p w14:paraId="60154B26" w14:textId="25F3D4C4" w:rsidR="00214E42" w:rsidRDefault="00324AF7" w:rsidP="00324AF7">
      <w:pPr>
        <w:spacing w:before="200"/>
        <w:rPr>
          <w:color w:val="3A3A3A"/>
        </w:rPr>
      </w:pPr>
      <w:r>
        <w:rPr>
          <w:bdr w:val="none" w:sz="0" w:space="0" w:color="auto" w:frame="1"/>
        </w:rPr>
        <w:t>Your success in this class is important to me. If there are circumstances that may affect your performance in this class, please let me know as soon as possible so that we can work together to develop strategies for adapting assignments to meet both your needs and the requirements of the course.</w:t>
      </w:r>
    </w:p>
    <w:p w14:paraId="766525B6" w14:textId="77777777" w:rsidR="00BD3B37" w:rsidRDefault="00BD3B37" w:rsidP="00131311">
      <w:pPr>
        <w:pStyle w:val="Heading2"/>
      </w:pPr>
      <w:r>
        <w:lastRenderedPageBreak/>
        <w:t>Office Hours</w:t>
      </w:r>
    </w:p>
    <w:p w14:paraId="2CCBB9B7" w14:textId="1612AFE4" w:rsidR="00BD3B37" w:rsidRDefault="00BD3B37" w:rsidP="00BD3B37">
      <w:r>
        <w:t xml:space="preserve">As indicated above, I’ll have </w:t>
      </w:r>
      <w:proofErr w:type="gramStart"/>
      <w:r>
        <w:t>regularly-scheduled</w:t>
      </w:r>
      <w:proofErr w:type="gramEnd"/>
      <w:r>
        <w:t xml:space="preserve"> office hours on Tuesdays from </w:t>
      </w:r>
      <w:r w:rsidR="00544E2F">
        <w:t>12:00-1:00</w:t>
      </w:r>
      <w:r>
        <w:t xml:space="preserve"> p.m. If you’re not able to make that time, please feel free to shoot me an e-mail, and we’ll find another </w:t>
      </w:r>
      <w:proofErr w:type="gramStart"/>
      <w:r>
        <w:t>mutually-convenient</w:t>
      </w:r>
      <w:proofErr w:type="gramEnd"/>
      <w:r>
        <w:t xml:space="preserve"> time to chat over Zoom. </w:t>
      </w:r>
    </w:p>
    <w:p w14:paraId="09216510" w14:textId="2D83E7D7" w:rsidR="00BD3B37" w:rsidRDefault="00BD3B37" w:rsidP="00BD3B37">
      <w:r>
        <w:t xml:space="preserve">I can’t stress this enough: </w:t>
      </w:r>
      <w:r w:rsidRPr="003A4FF8">
        <w:rPr>
          <w:b/>
          <w:bCs/>
          <w:u w:val="single"/>
        </w:rPr>
        <w:t>office hours are a great opportunity for you to connect with professors and GSIs on campus</w:t>
      </w:r>
      <w:r>
        <w:t>—not just to get extra help or talk through any specific course-related questions you might have, but also to discuss all sorts of things that might be on your mind</w:t>
      </w:r>
      <w:r w:rsidR="003A4FF8">
        <w:t xml:space="preserve">. You’re welcome to come to office hours with questions/concerns about our class, or other classes, or other things going on in the world, or plans for your major/minor, or studying abroad, or your career ideas, or anything I’ve mentioned that you found interesting and would like to know more about… Really anything at all! </w:t>
      </w:r>
    </w:p>
    <w:p w14:paraId="20999EF0" w14:textId="77777777" w:rsidR="00544E2F" w:rsidRDefault="00544E2F" w:rsidP="00544E2F">
      <w:pPr>
        <w:pStyle w:val="Heading2"/>
      </w:pPr>
      <w:r w:rsidRPr="00131311">
        <w:t>Technology</w:t>
      </w:r>
      <w:r>
        <w:t xml:space="preserve"> Use</w:t>
      </w:r>
    </w:p>
    <w:p w14:paraId="40731DED" w14:textId="77777777" w:rsidR="00544E2F" w:rsidRDefault="00544E2F" w:rsidP="00544E2F">
      <w:r>
        <w:t xml:space="preserve">Generally speaking, please refrain from using laptops, phones, or tablets during our meetings. Research shows that taking notes by hand enhances recall and learning, and since this is a small class setting, I want to ensure that we’re all as mentally present as possible. (For the curious, check out: </w:t>
      </w:r>
      <w:hyperlink r:id="rId18" w:history="1">
        <w:r w:rsidRPr="00466987">
          <w:rPr>
            <w:rStyle w:val="Hyperlink"/>
          </w:rPr>
          <w:t>https://www.vox.com/2014/6/4/5776804/note-taking-by-hand-versus-laptop</w:t>
        </w:r>
      </w:hyperlink>
      <w:r>
        <w:t>)</w:t>
      </w:r>
    </w:p>
    <w:p w14:paraId="1B4FE48B" w14:textId="77777777" w:rsidR="00544E2F" w:rsidRDefault="00544E2F" w:rsidP="00544E2F">
      <w:r>
        <w:t xml:space="preserve">That being said—you </w:t>
      </w:r>
      <w:r w:rsidRPr="008C2F7B">
        <w:rPr>
          <w:i/>
          <w:iCs/>
        </w:rPr>
        <w:t>will</w:t>
      </w:r>
      <w:r>
        <w:t xml:space="preserve"> need to be able to access articles/videos/other links shared by me or your classmates, so please bring a device that will allow you to do so. I’ll let you know when it’s time to get them out. </w:t>
      </w:r>
    </w:p>
    <w:p w14:paraId="78D3AA8F" w14:textId="77777777" w:rsidR="00131311" w:rsidRDefault="00131311" w:rsidP="00131311">
      <w:pPr>
        <w:pStyle w:val="Heading2"/>
      </w:pPr>
      <w:r>
        <w:t>Course Recordings</w:t>
      </w:r>
    </w:p>
    <w:p w14:paraId="6B4321D7" w14:textId="77777777" w:rsidR="00131311" w:rsidRPr="00131311" w:rsidRDefault="00131311" w:rsidP="00131311">
      <w:r>
        <w:t xml:space="preserve">Students are prohibited from recording/distributing any class activity without written permission from the instructor, except as necessary as </w:t>
      </w:r>
      <w:r w:rsidRPr="00131311">
        <w:t>part of approved accommodations for students with disabilities. Any approved recordings may only be used for the student’s own private use.</w:t>
      </w:r>
    </w:p>
    <w:p w14:paraId="0B9F4982" w14:textId="11B22575" w:rsidR="00131311" w:rsidRPr="00131311" w:rsidRDefault="00131311" w:rsidP="000543D9">
      <w:pPr>
        <w:rPr>
          <w:color w:val="333333"/>
        </w:rPr>
      </w:pPr>
      <w:r w:rsidRPr="00131311">
        <w:t>Additional information regarding course recordings and privacy concerns can be found on the </w:t>
      </w:r>
      <w:hyperlink r:id="rId19" w:history="1">
        <w:r w:rsidRPr="00131311">
          <w:rPr>
            <w:rStyle w:val="Hyperlink"/>
            <w:i/>
            <w:iCs/>
            <w:color w:val="007CBA"/>
            <w:bdr w:val="none" w:sz="0" w:space="0" w:color="auto" w:frame="1"/>
          </w:rPr>
          <w:t>UM ITS Recording and Privacy Concerns webpage</w:t>
        </w:r>
      </w:hyperlink>
      <w:r w:rsidRPr="00131311">
        <w:rPr>
          <w:color w:val="333333"/>
        </w:rPr>
        <w:t>.</w:t>
      </w:r>
    </w:p>
    <w:p w14:paraId="0EE85C7D" w14:textId="77777777" w:rsidR="00131311" w:rsidRPr="00131311" w:rsidRDefault="00131311" w:rsidP="00131311">
      <w:pPr>
        <w:pStyle w:val="Heading2"/>
      </w:pPr>
      <w:r w:rsidRPr="00131311">
        <w:rPr>
          <w:rStyle w:val="Strong"/>
          <w:b/>
          <w:bCs w:val="0"/>
        </w:rPr>
        <w:t>Sites @ Home loaner laptop program</w:t>
      </w:r>
    </w:p>
    <w:p w14:paraId="0330CE9A" w14:textId="77777777" w:rsidR="00131311" w:rsidRDefault="00131311" w:rsidP="00131311">
      <w:pPr>
        <w:rPr>
          <w:rFonts w:ascii="Arial" w:hAnsi="Arial"/>
        </w:rPr>
      </w:pPr>
      <w:r>
        <w:t xml:space="preserve">Many students rely on campus computing sites to access specialized software, use a Windows PC for a course assignment when they may have a Mac at home, or access faster computers with higher processing speeds. We recognize that some students may not be able to come to a physical computing site location or feel comfortable using a shared </w:t>
      </w:r>
      <w:proofErr w:type="gramStart"/>
      <w:r>
        <w:t>work space</w:t>
      </w:r>
      <w:proofErr w:type="gramEnd"/>
      <w:r>
        <w:t xml:space="preserve"> due to the pandemic—so we have developed a new program to bring computing sites to them.</w:t>
      </w:r>
    </w:p>
    <w:p w14:paraId="02729D5A" w14:textId="77777777" w:rsidR="00131311" w:rsidRDefault="00131311" w:rsidP="00131311">
      <w:r>
        <w:t xml:space="preserve">"Sites @ Home" loaner laptop program, which is available to U-M Ann Arbor graduate and undergraduate students to support their academic needs for up to two semesters. This program is designed to supplement the loaner programs that are already in place within schools and </w:t>
      </w:r>
      <w:r>
        <w:lastRenderedPageBreak/>
        <w:t>colleges, so that we can work together to ensure that our students have access to the technology they need to succeed.</w:t>
      </w:r>
    </w:p>
    <w:p w14:paraId="020B2A0B" w14:textId="77777777" w:rsidR="00131311" w:rsidRDefault="00131311" w:rsidP="00131311">
      <w:r>
        <w:t>As part of the program, students may check out a Windows PC laptop with access to many popular software titles in the Campus Computing Sites library. Students are only eligible for one loaner check-out at a time, and laptops can be checked out for one or two semesters. The program is open to U-M Ann Arbor students who will be physically in the United States for the length of the loan. Supply is limited, so requests will be filled on a first-come, first-served basis with priority given to students who have a financial need.</w:t>
      </w:r>
      <w:r>
        <w:tab/>
      </w:r>
    </w:p>
    <w:p w14:paraId="2C48702D" w14:textId="361F0B58" w:rsidR="00131311" w:rsidRDefault="00131311" w:rsidP="000543D9">
      <w:r>
        <w:t xml:space="preserve">Please find additional information </w:t>
      </w:r>
      <w:r w:rsidRPr="00131311">
        <w:t>about the</w:t>
      </w:r>
      <w:hyperlink r:id="rId20" w:tgtFrame="_blank" w:history="1">
        <w:r w:rsidRPr="00131311">
          <w:rPr>
            <w:rStyle w:val="Hyperlink"/>
          </w:rPr>
          <w:t xml:space="preserve"> </w:t>
        </w:r>
      </w:hyperlink>
      <w:hyperlink r:id="rId21" w:tgtFrame="_blank" w:history="1">
        <w:r w:rsidRPr="00131311">
          <w:rPr>
            <w:rStyle w:val="Hyperlink"/>
          </w:rPr>
          <w:t>Sites @ Home program</w:t>
        </w:r>
      </w:hyperlink>
      <w:r w:rsidRPr="00131311">
        <w:t xml:space="preserve"> on the ITS</w:t>
      </w:r>
      <w:r>
        <w:t xml:space="preserve"> website.</w:t>
      </w:r>
    </w:p>
    <w:p w14:paraId="64DFE49F" w14:textId="7E9B2421" w:rsidR="000543D9" w:rsidRPr="00214E42" w:rsidRDefault="000543D9" w:rsidP="00131311">
      <w:pPr>
        <w:pStyle w:val="Heading2"/>
      </w:pPr>
      <w:r>
        <w:t xml:space="preserve">Academic </w:t>
      </w:r>
      <w:r w:rsidRPr="00131311">
        <w:t>Misconduct</w:t>
      </w:r>
      <w:r w:rsidR="00214E42">
        <w:t xml:space="preserve"> and Plagiarism</w:t>
      </w:r>
    </w:p>
    <w:p w14:paraId="7C52A710" w14:textId="7FD9E941" w:rsidR="000543D9" w:rsidRDefault="000543D9" w:rsidP="00214E42">
      <w:pPr>
        <w:rPr>
          <w:rStyle w:val="Hyperlink"/>
          <w:color w:val="007CBA"/>
          <w:bdr w:val="none" w:sz="0" w:space="0" w:color="auto" w:frame="1"/>
        </w:rPr>
      </w:pPr>
      <w:r>
        <w:t>The University of Michigan community functions best when its members treat one another with honesty, fairness, respect, and trust. The college promotes the assumption of personal responsibility and integrity, and prohibits all forms of academic dishonesty and misconduct. All cases of academic misconduct will be referred to the LSA Office of the Assistant Dean for Undergraduate Education. Being found responsible for academic misconduct will usually result in a grade sanction, in addition to any sanction from the college. For more information</w:t>
      </w:r>
      <w:r w:rsidRPr="00214E42">
        <w:t>, including examples of behaviors that are considered academic misconduct and potential sanctions, please see </w:t>
      </w:r>
      <w:hyperlink r:id="rId22" w:history="1">
        <w:r w:rsidRPr="00214E42">
          <w:rPr>
            <w:rStyle w:val="Hyperlink"/>
            <w:color w:val="007CBA"/>
            <w:bdr w:val="none" w:sz="0" w:space="0" w:color="auto" w:frame="1"/>
          </w:rPr>
          <w:t>lsa.umich.edu/</w:t>
        </w:r>
        <w:proofErr w:type="spellStart"/>
        <w:r w:rsidRPr="00214E42">
          <w:rPr>
            <w:rStyle w:val="Hyperlink"/>
            <w:color w:val="007CBA"/>
            <w:bdr w:val="none" w:sz="0" w:space="0" w:color="auto" w:frame="1"/>
          </w:rPr>
          <w:t>lsa</w:t>
        </w:r>
        <w:proofErr w:type="spellEnd"/>
        <w:r w:rsidRPr="00214E42">
          <w:rPr>
            <w:rStyle w:val="Hyperlink"/>
            <w:color w:val="007CBA"/>
            <w:bdr w:val="none" w:sz="0" w:space="0" w:color="auto" w:frame="1"/>
          </w:rPr>
          <w:t>/academics/academic-integrity.html</w:t>
        </w:r>
      </w:hyperlink>
    </w:p>
    <w:p w14:paraId="7968E52D" w14:textId="7A742910" w:rsidR="00214E42" w:rsidRPr="00214E42" w:rsidRDefault="00214E42" w:rsidP="00214E42">
      <w:pPr>
        <w:rPr>
          <w:color w:val="3A3A3A"/>
        </w:rPr>
      </w:pPr>
      <w:r w:rsidRPr="00214E42">
        <w:rPr>
          <w:bdr w:val="none" w:sz="0" w:space="0" w:color="auto" w:frame="1"/>
        </w:rPr>
        <w:t>One form of misconduct that deserves special attention is plagiarism</w:t>
      </w:r>
      <w:r w:rsidR="00131311">
        <w:rPr>
          <w:bdr w:val="none" w:sz="0" w:space="0" w:color="auto" w:frame="1"/>
        </w:rPr>
        <w:t>, defined by t</w:t>
      </w:r>
      <w:r w:rsidRPr="00214E42">
        <w:rPr>
          <w:bdr w:val="none" w:sz="0" w:space="0" w:color="auto" w:frame="1"/>
        </w:rPr>
        <w:t>he LSA Office of Academic Affairs as “representing someone else’s ideas, words, statements or other work as one’s own without proper acknowledgment or citation” (see </w:t>
      </w:r>
      <w:hyperlink r:id="rId23" w:history="1">
        <w:r w:rsidRPr="00214E42">
          <w:rPr>
            <w:rStyle w:val="Hyperlink"/>
            <w:color w:val="0E94BA"/>
            <w:bdr w:val="none" w:sz="0" w:space="0" w:color="auto" w:frame="1"/>
          </w:rPr>
          <w:t>https://lsa.umich.edu/lsa/academics/academic-integrity/academic-misconduct.html</w:t>
        </w:r>
      </w:hyperlink>
      <w:r w:rsidRPr="00214E42">
        <w:rPr>
          <w:bdr w:val="none" w:sz="0" w:space="0" w:color="auto" w:frame="1"/>
        </w:rPr>
        <w:t>). New writing challenges can tax your writing fluency, and entering new academic discourses can test your abilities to synthesize and take ownership over source texts and concepts. My job as instructor in this course is to help you through these obstacles so that you can find your footing as a writer in new domains. Your job as a student is to keep the faith, so to speak, and work through these new domains until you regain confidence. This work requires patience, planning, and focus.</w:t>
      </w:r>
    </w:p>
    <w:p w14:paraId="65D65E18" w14:textId="3E143A2F" w:rsidR="00214E42" w:rsidRDefault="00214E42" w:rsidP="00214E42">
      <w:pPr>
        <w:rPr>
          <w:bdr w:val="none" w:sz="0" w:space="0" w:color="auto" w:frame="1"/>
        </w:rPr>
      </w:pPr>
      <w:r>
        <w:rPr>
          <w:bdr w:val="none" w:sz="0" w:space="0" w:color="auto" w:frame="1"/>
        </w:rPr>
        <w:t xml:space="preserve">Much plagiarism occurs as a result of a lack of care in regard to reading, note taking, and citation practices, or from procrastination, and/or panic. Care, timeliness, and communication will eliminate most of the risk. If you have questions about whether or not you should give credit to a source in your work, you may clarify it with me. In general, though, I </w:t>
      </w:r>
      <w:proofErr w:type="gramStart"/>
      <w:r>
        <w:rPr>
          <w:bdr w:val="none" w:sz="0" w:space="0" w:color="auto" w:frame="1"/>
        </w:rPr>
        <w:t>recommend always</w:t>
      </w:r>
      <w:proofErr w:type="gramEnd"/>
      <w:r>
        <w:rPr>
          <w:bdr w:val="none" w:sz="0" w:space="0" w:color="auto" w:frame="1"/>
        </w:rPr>
        <w:t xml:space="preserve"> the citing sources you have consulted as well as those you borrow from directly. </w:t>
      </w:r>
      <w:r>
        <w:rPr>
          <w:i/>
          <w:iCs/>
          <w:bdr w:val="none" w:sz="0" w:space="0" w:color="auto" w:frame="1"/>
        </w:rPr>
        <w:t>If you are having difficulty with an essay, please contact me right away!</w:t>
      </w:r>
      <w:r>
        <w:rPr>
          <w:bdr w:val="none" w:sz="0" w:space="0" w:color="auto" w:frame="1"/>
        </w:rPr>
        <w:t> That’s what my email address and office hours are for.</w:t>
      </w:r>
    </w:p>
    <w:p w14:paraId="58C4375E" w14:textId="08D30FE0" w:rsidR="005307D4" w:rsidRDefault="005307D4" w:rsidP="005307D4">
      <w:pPr>
        <w:pStyle w:val="Heading2"/>
      </w:pPr>
      <w:r>
        <w:lastRenderedPageBreak/>
        <w:t>Sweetland Center for Writing</w:t>
      </w:r>
    </w:p>
    <w:p w14:paraId="0C956CC6" w14:textId="5FEB4DD8" w:rsidR="005307D4" w:rsidRPr="005307D4" w:rsidRDefault="005307D4" w:rsidP="005307D4">
      <w:r>
        <w:t xml:space="preserve">The Sweetland Center for Writing—located at </w:t>
      </w:r>
      <w:r>
        <w:rPr>
          <w:bCs/>
        </w:rPr>
        <w:t>1310 North Quad</w:t>
      </w:r>
      <w:r>
        <w:t xml:space="preserve">—is an amazing, free resource! If you would like additional feedback or assistance as you’re planning, drafting, or revising your writing assignments, you can schedule an individual appointment with a Sweetland faculty member, drop in for a peer-tutoring session, correspond online with a peer tutor, or submit your work online to receive feedback within 72 hours </w:t>
      </w:r>
    </w:p>
    <w:p w14:paraId="5B7A9C4E" w14:textId="77777777" w:rsidR="005307D4" w:rsidRDefault="005307D4" w:rsidP="005307D4">
      <w:r>
        <w:t xml:space="preserve">Sweetland faculty members and peer tutors will not edit or proofread your work, but they can assist you with understanding assignments, generating ideas, </w:t>
      </w:r>
      <w:proofErr w:type="gramStart"/>
      <w:r>
        <w:t>developing</w:t>
      </w:r>
      <w:proofErr w:type="gramEnd"/>
      <w:r>
        <w:t xml:space="preserve"> and organizing arguments, using evidence and sources, and clarifying your writing. </w:t>
      </w:r>
    </w:p>
    <w:p w14:paraId="2908FC4F" w14:textId="142135B0" w:rsidR="005307D4" w:rsidRPr="005307D4" w:rsidRDefault="005307D4" w:rsidP="00214E42">
      <w:r>
        <w:t xml:space="preserve">For more information, please visit: </w:t>
      </w:r>
      <w:hyperlink r:id="rId24" w:history="1">
        <w:r w:rsidRPr="00B854AA">
          <w:rPr>
            <w:rStyle w:val="Hyperlink"/>
          </w:rPr>
          <w:t>http://www.lsa.umich.edu/sweetland/undergraduate</w:t>
        </w:r>
      </w:hyperlink>
      <w:r>
        <w:t xml:space="preserve">. </w:t>
      </w:r>
    </w:p>
    <w:p w14:paraId="233195FF" w14:textId="77777777" w:rsidR="000543D9" w:rsidRDefault="000543D9" w:rsidP="00131311">
      <w:pPr>
        <w:pStyle w:val="Heading2"/>
      </w:pPr>
      <w:r>
        <w:t>Mental Health and Wellbeing</w:t>
      </w:r>
    </w:p>
    <w:p w14:paraId="40542E7B" w14:textId="77777777" w:rsidR="000543D9" w:rsidRPr="00131311" w:rsidRDefault="000543D9" w:rsidP="00131311">
      <w:r>
        <w:t xml:space="preserve">The University of Michigan is committed to advancing the mental health and wellbeing of its students. If you or someone you know is feeling overwhelmed, depressed, and/or in need of support, services are </w:t>
      </w:r>
      <w:r w:rsidRPr="00131311">
        <w:t>available. For help, contact Counseling and Psychological Services (CAPS) at 734.764.8312 and </w:t>
      </w:r>
      <w:hyperlink r:id="rId25" w:history="1">
        <w:r w:rsidRPr="00131311">
          <w:rPr>
            <w:rStyle w:val="Hyperlink"/>
            <w:color w:val="007CBA"/>
            <w:bdr w:val="none" w:sz="0" w:space="0" w:color="auto" w:frame="1"/>
          </w:rPr>
          <w:t>caps.umich.edu </w:t>
        </w:r>
      </w:hyperlink>
      <w:r w:rsidRPr="00131311">
        <w:t>during and after hours, on weekends and holidays, or through its counselors physically located in schools on both North and Central Campus. You may also consult University Health Service (UHS) at 734.764.8320 and </w:t>
      </w:r>
      <w:hyperlink r:id="rId26" w:history="1">
        <w:r w:rsidRPr="00131311">
          <w:rPr>
            <w:rStyle w:val="Hyperlink"/>
            <w:color w:val="007CBA"/>
            <w:bdr w:val="none" w:sz="0" w:space="0" w:color="auto" w:frame="1"/>
          </w:rPr>
          <w:t>https://www.uhs.umich.edu/mentalhealthsvcs, </w:t>
        </w:r>
      </w:hyperlink>
      <w:r w:rsidRPr="00131311">
        <w:t>or for alcohol or drug concerns, see </w:t>
      </w:r>
      <w:hyperlink r:id="rId27" w:history="1">
        <w:r w:rsidRPr="00131311">
          <w:rPr>
            <w:rStyle w:val="Hyperlink"/>
            <w:color w:val="007CBA"/>
            <w:bdr w:val="none" w:sz="0" w:space="0" w:color="auto" w:frame="1"/>
          </w:rPr>
          <w:t>https://www.uhs.umich.edu/aodresources.</w:t>
        </w:r>
      </w:hyperlink>
    </w:p>
    <w:p w14:paraId="7887EC29" w14:textId="77777777" w:rsidR="000543D9" w:rsidRPr="00131311" w:rsidRDefault="000543D9" w:rsidP="00131311">
      <w:r w:rsidRPr="00131311">
        <w:t>For a listing of other mental health resources available on and off campus, visit </w:t>
      </w:r>
      <w:hyperlink r:id="rId28" w:history="1">
        <w:r w:rsidRPr="00131311">
          <w:rPr>
            <w:rStyle w:val="Hyperlink"/>
            <w:color w:val="007CBA"/>
            <w:bdr w:val="none" w:sz="0" w:space="0" w:color="auto" w:frame="1"/>
          </w:rPr>
          <w:t>http://umich.edu/~mhealth/</w:t>
        </w:r>
      </w:hyperlink>
    </w:p>
    <w:p w14:paraId="117BEC0A" w14:textId="77777777" w:rsidR="000543D9" w:rsidRDefault="000543D9" w:rsidP="00131311">
      <w:pPr>
        <w:pStyle w:val="Heading2"/>
      </w:pPr>
      <w:r>
        <w:t>Sexual Misconduct Policy</w:t>
      </w:r>
    </w:p>
    <w:p w14:paraId="5A1AFAF2" w14:textId="77777777" w:rsidR="000543D9" w:rsidRPr="00131311" w:rsidRDefault="000543D9" w:rsidP="00131311">
      <w:r>
        <w:t xml:space="preserve">Title IX prohibits discrimination on the basis of sex, which includes sexual misconduct — including harassment, domestic and dating violence, sexual assault, and stalking. We understand that sexual </w:t>
      </w:r>
      <w:r w:rsidRPr="00131311">
        <w:t>violence can undermine students’ academic success and we encourage anyone dealing with sexual misconduct to talk to someone about their experience, so they can get the support they need. Confidential support and academic advocacy can be found with the Sexual Assault Prevention and Awareness Center (SAPAC) on their 24-hour crisis line, 734.936.3333 and </w:t>
      </w:r>
      <w:hyperlink r:id="rId29" w:history="1">
        <w:r w:rsidRPr="00131311">
          <w:rPr>
            <w:rStyle w:val="Hyperlink"/>
            <w:color w:val="007CBA"/>
            <w:bdr w:val="none" w:sz="0" w:space="0" w:color="auto" w:frame="1"/>
          </w:rPr>
          <w:t>at sapac.umich.edu</w:t>
        </w:r>
      </w:hyperlink>
      <w:r w:rsidRPr="00131311">
        <w:t>.</w:t>
      </w:r>
    </w:p>
    <w:p w14:paraId="6947E013" w14:textId="02E59CBE" w:rsidR="00F07409" w:rsidRDefault="000543D9" w:rsidP="00131311">
      <w:pPr>
        <w:rPr>
          <w:rStyle w:val="Hyperlink"/>
          <w:color w:val="007CBA"/>
          <w:bdr w:val="none" w:sz="0" w:space="0" w:color="auto" w:frame="1"/>
        </w:rPr>
      </w:pPr>
      <w:r w:rsidRPr="00131311">
        <w:t>Alleged violations can be non-confidentially reported to the Office for Institutional Equity (OIE) at </w:t>
      </w:r>
      <w:hyperlink r:id="rId30" w:history="1">
        <w:r w:rsidRPr="00131311">
          <w:rPr>
            <w:rStyle w:val="Hyperlink"/>
            <w:color w:val="007CBA"/>
            <w:bdr w:val="none" w:sz="0" w:space="0" w:color="auto" w:frame="1"/>
          </w:rPr>
          <w:t>institutional.equity@umich.edu</w:t>
        </w:r>
      </w:hyperlink>
    </w:p>
    <w:p w14:paraId="3DBACA43" w14:textId="560BB399" w:rsidR="000A38B4" w:rsidRDefault="000A38B4" w:rsidP="00131311">
      <w:pPr>
        <w:rPr>
          <w:rStyle w:val="Hyperlink"/>
          <w:color w:val="007CBA"/>
          <w:bdr w:val="none" w:sz="0" w:space="0" w:color="auto" w:frame="1"/>
        </w:rPr>
      </w:pPr>
    </w:p>
    <w:p w14:paraId="19F5C967" w14:textId="77777777" w:rsidR="000A38B4" w:rsidRDefault="000A38B4" w:rsidP="00131311">
      <w:pPr>
        <w:rPr>
          <w:rStyle w:val="Hyperlink"/>
          <w:color w:val="007CBA"/>
          <w:bdr w:val="none" w:sz="0" w:space="0" w:color="auto" w:frame="1"/>
        </w:rPr>
      </w:pPr>
    </w:p>
    <w:bookmarkEnd w:id="1"/>
    <w:p w14:paraId="2D4DB2B2" w14:textId="27E2B1CC" w:rsidR="00B06A7B" w:rsidRDefault="009610B6" w:rsidP="00B06A7B">
      <w:pPr>
        <w:pStyle w:val="Heading1"/>
        <w:spacing w:after="0"/>
      </w:pPr>
      <w:r>
        <w:lastRenderedPageBreak/>
        <w:t>Course Readings</w:t>
      </w:r>
      <w:r w:rsidR="00B06A7B">
        <w:t xml:space="preserve"> and Schedule</w:t>
      </w:r>
    </w:p>
    <w:p w14:paraId="26816D6A" w14:textId="77777777" w:rsidR="00F64853" w:rsidRDefault="00F64853" w:rsidP="00DD1E04">
      <w:pPr>
        <w:pStyle w:val="NoSpacing"/>
      </w:pPr>
    </w:p>
    <w:p w14:paraId="7D45D16B" w14:textId="0DC0A5C2" w:rsidR="00F81ABB" w:rsidRPr="004B5066" w:rsidRDefault="00F81ABB" w:rsidP="00DD1E04">
      <w:pPr>
        <w:pStyle w:val="NoSpacing"/>
      </w:pPr>
      <w:r w:rsidRPr="004B5066">
        <w:t>[Readings will be posted in “Files” on Canvas</w:t>
      </w:r>
      <w:r w:rsidR="00F64853">
        <w:t>. No purchases required. Recommendations for books you may want to purchase are at the conclusion of the syllabus.</w:t>
      </w:r>
      <w:r w:rsidRPr="004B5066">
        <w:t>]</w:t>
      </w:r>
    </w:p>
    <w:p w14:paraId="4DBC26FC" w14:textId="3DC097A7" w:rsidR="00CD6A77" w:rsidRDefault="00CD6A77" w:rsidP="00CD6A77">
      <w:pPr>
        <w:pStyle w:val="Heading3"/>
      </w:pPr>
      <w:bookmarkStart w:id="2" w:name="_Hlk60908286"/>
      <w:bookmarkStart w:id="3" w:name="_Hlk60908299"/>
      <w:r>
        <w:t>Wednesday, January 5, 202</w:t>
      </w:r>
      <w:r w:rsidR="00057BDE">
        <w:t>2</w:t>
      </w:r>
      <w:r>
        <w:t xml:space="preserve">: </w:t>
      </w:r>
      <w:bookmarkEnd w:id="2"/>
      <w:r>
        <w:t>Introductions and Syllabus Review</w:t>
      </w:r>
    </w:p>
    <w:bookmarkEnd w:id="3"/>
    <w:p w14:paraId="46306DC9" w14:textId="3394F947" w:rsidR="00CD6A77" w:rsidRDefault="00CD6A77" w:rsidP="00CD6A77">
      <w:pPr>
        <w:pStyle w:val="Heading2"/>
        <w:jc w:val="center"/>
      </w:pPr>
      <w:r>
        <w:t xml:space="preserve">Part 1: </w:t>
      </w:r>
      <w:r w:rsidR="00932338">
        <w:t>Ethnography in Theory and Practice</w:t>
      </w:r>
    </w:p>
    <w:p w14:paraId="4AF09980" w14:textId="6D11B0FE" w:rsidR="00CD6A77" w:rsidRDefault="00CD6A77" w:rsidP="00CD6A77">
      <w:pPr>
        <w:pStyle w:val="Heading3"/>
      </w:pPr>
      <w:bookmarkStart w:id="4" w:name="_Hlk60908317"/>
      <w:r>
        <w:t>Monday, January 10, 202</w:t>
      </w:r>
      <w:bookmarkEnd w:id="4"/>
      <w:r w:rsidR="00057BDE">
        <w:t>2</w:t>
      </w:r>
      <w:r>
        <w:t xml:space="preserve">: </w:t>
      </w:r>
      <w:r w:rsidR="00D87FEB">
        <w:t>Introducing Ethnography</w:t>
      </w:r>
    </w:p>
    <w:p w14:paraId="3DFE000E" w14:textId="323C75F3" w:rsidR="0084312A" w:rsidRDefault="00D173A7" w:rsidP="00D173A7">
      <w:pPr>
        <w:ind w:left="1440" w:hanging="1440"/>
      </w:pPr>
      <w:r>
        <w:t>Required:</w:t>
      </w:r>
      <w:r>
        <w:tab/>
      </w:r>
      <w:r w:rsidR="0084312A">
        <w:t xml:space="preserve">Geertz, Clifford. </w:t>
      </w:r>
      <w:r w:rsidR="00AB27B5">
        <w:t>(</w:t>
      </w:r>
      <w:r w:rsidR="0084312A">
        <w:t>1973</w:t>
      </w:r>
      <w:r w:rsidR="00AB27B5">
        <w:t>)</w:t>
      </w:r>
      <w:r w:rsidR="0084312A">
        <w:t>. “Thick Description: Toward an Interpretive Theory of Culture,” The Interpretation of Cultures, New York: Basic Books, pp. 310-333.</w:t>
      </w:r>
    </w:p>
    <w:p w14:paraId="28A4E1CE" w14:textId="77777777" w:rsidR="006E6FAB" w:rsidRDefault="006E6FAB" w:rsidP="00D173A7">
      <w:pPr>
        <w:ind w:left="1440"/>
        <w:rPr>
          <w:shd w:val="clear" w:color="auto" w:fill="FFFFFF"/>
        </w:rPr>
      </w:pPr>
      <w:r>
        <w:rPr>
          <w:shd w:val="clear" w:color="auto" w:fill="FFFFFF"/>
        </w:rPr>
        <w:t>Geertz, C. (1972). Deep play: Notes on the Balinese cockfight. </w:t>
      </w:r>
      <w:r>
        <w:rPr>
          <w:i/>
          <w:iCs/>
          <w:shd w:val="clear" w:color="auto" w:fill="FFFFFF"/>
        </w:rPr>
        <w:t>Daedalus</w:t>
      </w:r>
      <w:r>
        <w:rPr>
          <w:shd w:val="clear" w:color="auto" w:fill="FFFFFF"/>
        </w:rPr>
        <w:t>, </w:t>
      </w:r>
      <w:r>
        <w:rPr>
          <w:i/>
          <w:iCs/>
          <w:shd w:val="clear" w:color="auto" w:fill="FFFFFF"/>
        </w:rPr>
        <w:t>134</w:t>
      </w:r>
      <w:r>
        <w:rPr>
          <w:shd w:val="clear" w:color="auto" w:fill="FFFFFF"/>
        </w:rPr>
        <w:t>(4), 56-86.</w:t>
      </w:r>
    </w:p>
    <w:p w14:paraId="155C5177" w14:textId="183D7CE6" w:rsidR="00AB27B5" w:rsidRPr="0084312A" w:rsidRDefault="00D173A7" w:rsidP="006E6FAB">
      <w:pPr>
        <w:ind w:left="1440" w:hanging="1440"/>
      </w:pPr>
      <w:r>
        <w:rPr>
          <w:shd w:val="clear" w:color="auto" w:fill="FFFFFF"/>
        </w:rPr>
        <w:t xml:space="preserve">Optional: </w:t>
      </w:r>
      <w:r>
        <w:rPr>
          <w:shd w:val="clear" w:color="auto" w:fill="FFFFFF"/>
        </w:rPr>
        <w:tab/>
      </w:r>
      <w:r w:rsidR="006E6FAB">
        <w:t>Clifford, James. (1983). “On Ethnographic Authority,” Representations 2: 118-146.</w:t>
      </w:r>
    </w:p>
    <w:p w14:paraId="20E8D680" w14:textId="1C2CC374" w:rsidR="00F64853" w:rsidRDefault="00CD6A77" w:rsidP="00932338">
      <w:pPr>
        <w:pStyle w:val="Heading3"/>
      </w:pPr>
      <w:bookmarkStart w:id="5" w:name="_Hlk60908340"/>
      <w:r w:rsidRPr="00490613">
        <w:t>Wednesday</w:t>
      </w:r>
      <w:r>
        <w:t>, January 12, 202</w:t>
      </w:r>
      <w:bookmarkEnd w:id="5"/>
      <w:r w:rsidR="00057BDE">
        <w:t>2</w:t>
      </w:r>
      <w:r>
        <w:t xml:space="preserve">: </w:t>
      </w:r>
      <w:bookmarkStart w:id="6" w:name="_Hlk60908647"/>
      <w:r w:rsidR="00D87FEB">
        <w:t xml:space="preserve">Ethnography and </w:t>
      </w:r>
      <w:r w:rsidR="001967FC">
        <w:t>Position</w:t>
      </w:r>
    </w:p>
    <w:p w14:paraId="172FD4D0" w14:textId="3E34D6F4" w:rsidR="001967FC" w:rsidRDefault="00D173A7" w:rsidP="00D173A7">
      <w:pPr>
        <w:ind w:left="1440" w:hanging="1440"/>
        <w:rPr>
          <w:shd w:val="clear" w:color="auto" w:fill="FFFFFF"/>
        </w:rPr>
      </w:pPr>
      <w:r>
        <w:rPr>
          <w:shd w:val="clear" w:color="auto" w:fill="FFFFFF"/>
        </w:rPr>
        <w:t>Required:</w:t>
      </w:r>
      <w:r>
        <w:rPr>
          <w:shd w:val="clear" w:color="auto" w:fill="FFFFFF"/>
        </w:rPr>
        <w:tab/>
      </w:r>
      <w:r w:rsidR="001967FC">
        <w:rPr>
          <w:shd w:val="clear" w:color="auto" w:fill="FFFFFF"/>
        </w:rPr>
        <w:t>Haraway, D. (1988). Situated knowledges: The science question in feminism and the privilege of partial perspective. </w:t>
      </w:r>
      <w:r w:rsidR="001967FC">
        <w:rPr>
          <w:i/>
          <w:iCs/>
          <w:shd w:val="clear" w:color="auto" w:fill="FFFFFF"/>
        </w:rPr>
        <w:t>Feminist studies</w:t>
      </w:r>
      <w:r w:rsidR="001967FC">
        <w:rPr>
          <w:shd w:val="clear" w:color="auto" w:fill="FFFFFF"/>
        </w:rPr>
        <w:t>, </w:t>
      </w:r>
      <w:r w:rsidR="001967FC">
        <w:rPr>
          <w:i/>
          <w:iCs/>
          <w:shd w:val="clear" w:color="auto" w:fill="FFFFFF"/>
        </w:rPr>
        <w:t>14</w:t>
      </w:r>
      <w:r w:rsidR="001967FC">
        <w:rPr>
          <w:shd w:val="clear" w:color="auto" w:fill="FFFFFF"/>
        </w:rPr>
        <w:t>(3), 575-599.</w:t>
      </w:r>
    </w:p>
    <w:p w14:paraId="7C52E831" w14:textId="5870ADDF" w:rsidR="001967FC" w:rsidRDefault="001967FC" w:rsidP="00D173A7">
      <w:pPr>
        <w:ind w:left="1440"/>
        <w:rPr>
          <w:shd w:val="clear" w:color="auto" w:fill="FFFFFF"/>
        </w:rPr>
      </w:pPr>
      <w:r>
        <w:rPr>
          <w:shd w:val="clear" w:color="auto" w:fill="FFFFFF"/>
        </w:rPr>
        <w:t xml:space="preserve">Rose, G. (1997). Situating knowledges: positionality, </w:t>
      </w:r>
      <w:proofErr w:type="spellStart"/>
      <w:r>
        <w:rPr>
          <w:shd w:val="clear" w:color="auto" w:fill="FFFFFF"/>
        </w:rPr>
        <w:t>reflexivities</w:t>
      </w:r>
      <w:proofErr w:type="spellEnd"/>
      <w:r>
        <w:rPr>
          <w:shd w:val="clear" w:color="auto" w:fill="FFFFFF"/>
        </w:rPr>
        <w:t xml:space="preserve"> and other tactics. </w:t>
      </w:r>
      <w:r>
        <w:rPr>
          <w:i/>
          <w:iCs/>
          <w:shd w:val="clear" w:color="auto" w:fill="FFFFFF"/>
        </w:rPr>
        <w:t>Progress in human geography</w:t>
      </w:r>
      <w:r>
        <w:rPr>
          <w:shd w:val="clear" w:color="auto" w:fill="FFFFFF"/>
        </w:rPr>
        <w:t>, </w:t>
      </w:r>
      <w:r>
        <w:rPr>
          <w:i/>
          <w:iCs/>
          <w:shd w:val="clear" w:color="auto" w:fill="FFFFFF"/>
        </w:rPr>
        <w:t>21</w:t>
      </w:r>
      <w:r>
        <w:rPr>
          <w:shd w:val="clear" w:color="auto" w:fill="FFFFFF"/>
        </w:rPr>
        <w:t>(3), 305-320.</w:t>
      </w:r>
    </w:p>
    <w:p w14:paraId="75CB3AB2" w14:textId="0C83E92A" w:rsidR="001967FC" w:rsidRPr="001967FC" w:rsidRDefault="00D173A7" w:rsidP="001967FC">
      <w:r>
        <w:t>Optional:</w:t>
      </w:r>
      <w:r>
        <w:tab/>
      </w:r>
      <w:r w:rsidR="001967FC">
        <w:t xml:space="preserve">Abu-Lughod, Lila. </w:t>
      </w:r>
      <w:r w:rsidR="00AB27B5">
        <w:t>(</w:t>
      </w:r>
      <w:r w:rsidR="001967FC">
        <w:t>2000</w:t>
      </w:r>
      <w:r w:rsidR="00AB27B5">
        <w:t>)</w:t>
      </w:r>
      <w:r w:rsidR="001967FC">
        <w:t>. “Locating Ethnography,” Ethnography 1(2): 261-267.</w:t>
      </w:r>
    </w:p>
    <w:p w14:paraId="1AC9AB2A" w14:textId="5F72A8C4" w:rsidR="00F64853" w:rsidRDefault="00CD6A77" w:rsidP="00CD6A77">
      <w:pPr>
        <w:pStyle w:val="Heading3"/>
      </w:pPr>
      <w:r>
        <w:t>Monday, January 17, 202</w:t>
      </w:r>
      <w:r w:rsidR="00057BDE">
        <w:t>2</w:t>
      </w:r>
      <w:r>
        <w:t xml:space="preserve">: NO CLASS (MLK Day) </w:t>
      </w:r>
    </w:p>
    <w:p w14:paraId="4399833E" w14:textId="18161824" w:rsidR="00B413B0" w:rsidRDefault="00CD6A77" w:rsidP="00932338">
      <w:pPr>
        <w:pStyle w:val="Heading3"/>
      </w:pPr>
      <w:r>
        <w:t>Wednesday</w:t>
      </w:r>
      <w:r w:rsidR="00057BDE">
        <w:t xml:space="preserve">, January 19, 2022: </w:t>
      </w:r>
      <w:r w:rsidR="00D87FEB">
        <w:t xml:space="preserve">Ethnography and </w:t>
      </w:r>
      <w:r w:rsidR="001967FC">
        <w:t>Place</w:t>
      </w:r>
    </w:p>
    <w:p w14:paraId="20B97EDB" w14:textId="025306D5" w:rsidR="001967FC" w:rsidRDefault="003A4A6D" w:rsidP="003A4A6D">
      <w:pPr>
        <w:ind w:left="1440" w:hanging="1440"/>
      </w:pPr>
      <w:r>
        <w:t>Required:</w:t>
      </w:r>
      <w:r>
        <w:tab/>
      </w:r>
      <w:bookmarkStart w:id="7" w:name="_Hlk93240489"/>
      <w:r w:rsidR="001967FC">
        <w:t>Gupta</w:t>
      </w:r>
      <w:r w:rsidR="00AB27B5">
        <w:t>, A.</w:t>
      </w:r>
      <w:r w:rsidR="001967FC">
        <w:t xml:space="preserve"> &amp; Ferguson, </w:t>
      </w:r>
      <w:r w:rsidR="00AB27B5">
        <w:t xml:space="preserve">J. (1997). </w:t>
      </w:r>
      <w:r w:rsidR="001967FC">
        <w:t xml:space="preserve">“Discipline and Practice: “The Field” as Site, Method, and Location in Anthropology,” </w:t>
      </w:r>
      <w:r w:rsidR="001967FC" w:rsidRPr="00F9449D">
        <w:rPr>
          <w:i/>
          <w:iCs/>
        </w:rPr>
        <w:t>Anthropological Locations: Boundaries and Grounds of a Field Science</w:t>
      </w:r>
      <w:r w:rsidR="001967FC">
        <w:rPr>
          <w:i/>
          <w:iCs/>
        </w:rPr>
        <w:t xml:space="preserve"> </w:t>
      </w:r>
      <w:r w:rsidR="001967FC">
        <w:t>(pp. 1-39).</w:t>
      </w:r>
    </w:p>
    <w:p w14:paraId="16738414" w14:textId="2C025DA6" w:rsidR="003A4A6D" w:rsidRDefault="003A4A6D" w:rsidP="003A4A6D">
      <w:pPr>
        <w:ind w:left="1440"/>
      </w:pPr>
      <w:bookmarkStart w:id="8" w:name="_Hlk93156402"/>
      <w:r w:rsidRPr="003A4A6D">
        <w:t xml:space="preserve">Harvey, P., &amp; Knox, H. (2010). Ethnographies of Place. </w:t>
      </w:r>
      <w:r w:rsidRPr="003A4A6D">
        <w:rPr>
          <w:i/>
          <w:iCs/>
        </w:rPr>
        <w:t>Understanding Social Research: Thinking Creatively about Method</w:t>
      </w:r>
      <w:r w:rsidRPr="003A4A6D">
        <w:t>, 107-119.</w:t>
      </w:r>
    </w:p>
    <w:bookmarkEnd w:id="7"/>
    <w:bookmarkEnd w:id="8"/>
    <w:p w14:paraId="0904E146" w14:textId="48B8F302" w:rsidR="003A4A6D" w:rsidRDefault="003A4A6D" w:rsidP="003A4A6D">
      <w:pPr>
        <w:ind w:left="1440" w:hanging="1440"/>
      </w:pPr>
      <w:r>
        <w:t xml:space="preserve">Optional: </w:t>
      </w:r>
      <w:r>
        <w:tab/>
      </w:r>
      <w:r w:rsidRPr="00A51061">
        <w:t xml:space="preserve">Marcus, George E. </w:t>
      </w:r>
      <w:r>
        <w:t>(</w:t>
      </w:r>
      <w:r w:rsidRPr="00A51061">
        <w:t>1995</w:t>
      </w:r>
      <w:r>
        <w:t>)</w:t>
      </w:r>
      <w:r w:rsidRPr="00A51061">
        <w:t>. “Ethnography In/Of the World System: The Emergence of Multi-sited Ethnography,” Annual Review of Anthropology 24: 95-117.</w:t>
      </w:r>
    </w:p>
    <w:p w14:paraId="7A4F80BE" w14:textId="5A113856" w:rsidR="005D18FA" w:rsidRDefault="005D18FA" w:rsidP="005D18FA">
      <w:r>
        <w:lastRenderedPageBreak/>
        <w:tab/>
      </w:r>
      <w:r>
        <w:rPr>
          <w:shd w:val="clear" w:color="auto" w:fill="FFFFFF"/>
        </w:rPr>
        <w:t>Tsing, A. L. (1994). From the margins. </w:t>
      </w:r>
      <w:r>
        <w:rPr>
          <w:i/>
          <w:iCs/>
          <w:shd w:val="clear" w:color="auto" w:fill="FFFFFF"/>
        </w:rPr>
        <w:t>Cultural Anthropology</w:t>
      </w:r>
      <w:r>
        <w:rPr>
          <w:shd w:val="clear" w:color="auto" w:fill="FFFFFF"/>
        </w:rPr>
        <w:t>, </w:t>
      </w:r>
      <w:r>
        <w:rPr>
          <w:i/>
          <w:iCs/>
          <w:shd w:val="clear" w:color="auto" w:fill="FFFFFF"/>
        </w:rPr>
        <w:t>9</w:t>
      </w:r>
      <w:r>
        <w:rPr>
          <w:shd w:val="clear" w:color="auto" w:fill="FFFFFF"/>
        </w:rPr>
        <w:t>(3), 279-297.</w:t>
      </w:r>
    </w:p>
    <w:p w14:paraId="0A286FEB" w14:textId="143B9AC7" w:rsidR="00F77C9C" w:rsidRDefault="00057BDE" w:rsidP="00932338">
      <w:pPr>
        <w:pStyle w:val="Heading3"/>
      </w:pPr>
      <w:r>
        <w:t xml:space="preserve">Monday, January 24, 2022: </w:t>
      </w:r>
      <w:r w:rsidR="00D87FEB">
        <w:t xml:space="preserve">Ethnography and </w:t>
      </w:r>
      <w:r w:rsidR="001967FC">
        <w:t xml:space="preserve">Political </w:t>
      </w:r>
      <w:r w:rsidR="00D87FEB">
        <w:t>Economy</w:t>
      </w:r>
    </w:p>
    <w:p w14:paraId="1B2942E7" w14:textId="6D557BBC" w:rsidR="0084312A" w:rsidRDefault="00920B00" w:rsidP="00920B00">
      <w:pPr>
        <w:ind w:left="1440" w:hanging="1440"/>
      </w:pPr>
      <w:r>
        <w:t>Required:</w:t>
      </w:r>
      <w:r>
        <w:tab/>
      </w:r>
      <w:proofErr w:type="spellStart"/>
      <w:r w:rsidR="0084312A">
        <w:t>Comaroff</w:t>
      </w:r>
      <w:proofErr w:type="spellEnd"/>
      <w:r w:rsidR="0084312A">
        <w:t>, J</w:t>
      </w:r>
      <w:r w:rsidR="00AB27B5">
        <w:t>.</w:t>
      </w:r>
      <w:r w:rsidR="0084312A">
        <w:t xml:space="preserve"> &amp; </w:t>
      </w:r>
      <w:proofErr w:type="spellStart"/>
      <w:r w:rsidR="0084312A">
        <w:t>Comaroff</w:t>
      </w:r>
      <w:proofErr w:type="spellEnd"/>
      <w:r w:rsidR="00AB27B5">
        <w:t>, J.L.</w:t>
      </w:r>
      <w:r w:rsidR="0084312A">
        <w:t xml:space="preserve"> </w:t>
      </w:r>
      <w:r w:rsidR="00AB27B5">
        <w:t>(</w:t>
      </w:r>
      <w:r w:rsidR="0084312A">
        <w:t>2012</w:t>
      </w:r>
      <w:r w:rsidR="00AB27B5">
        <w:t>)</w:t>
      </w:r>
      <w:r w:rsidR="0084312A">
        <w:t>. “Theory from the South: Or, how Euro-America is Evolving Toward Africa.” Anthropological Forum 22(2): 113-131.</w:t>
      </w:r>
    </w:p>
    <w:p w14:paraId="03647899" w14:textId="4D4FFC1B" w:rsidR="00B15D07" w:rsidRPr="0084312A" w:rsidRDefault="00B15D07" w:rsidP="00920B00">
      <w:pPr>
        <w:ind w:left="1440"/>
      </w:pPr>
      <w:proofErr w:type="spellStart"/>
      <w:r>
        <w:rPr>
          <w:shd w:val="clear" w:color="auto" w:fill="FFFFFF"/>
        </w:rPr>
        <w:t>Burawoy</w:t>
      </w:r>
      <w:proofErr w:type="spellEnd"/>
      <w:r>
        <w:rPr>
          <w:shd w:val="clear" w:color="auto" w:fill="FFFFFF"/>
        </w:rPr>
        <w:t xml:space="preserve">, M. (1998). </w:t>
      </w:r>
      <w:r w:rsidR="001967FC">
        <w:rPr>
          <w:shd w:val="clear" w:color="auto" w:fill="FFFFFF"/>
        </w:rPr>
        <w:t>“</w:t>
      </w:r>
      <w:r>
        <w:rPr>
          <w:shd w:val="clear" w:color="auto" w:fill="FFFFFF"/>
        </w:rPr>
        <w:t>The extended case method.</w:t>
      </w:r>
      <w:r w:rsidR="001967FC">
        <w:rPr>
          <w:shd w:val="clear" w:color="auto" w:fill="FFFFFF"/>
        </w:rPr>
        <w:t>”</w:t>
      </w:r>
      <w:r>
        <w:rPr>
          <w:shd w:val="clear" w:color="auto" w:fill="FFFFFF"/>
        </w:rPr>
        <w:t> </w:t>
      </w:r>
      <w:r>
        <w:rPr>
          <w:i/>
          <w:iCs/>
          <w:shd w:val="clear" w:color="auto" w:fill="FFFFFF"/>
        </w:rPr>
        <w:t>Sociological theory</w:t>
      </w:r>
      <w:r>
        <w:rPr>
          <w:shd w:val="clear" w:color="auto" w:fill="FFFFFF"/>
        </w:rPr>
        <w:t>, </w:t>
      </w:r>
      <w:r>
        <w:rPr>
          <w:i/>
          <w:iCs/>
          <w:shd w:val="clear" w:color="auto" w:fill="FFFFFF"/>
        </w:rPr>
        <w:t>16</w:t>
      </w:r>
      <w:r>
        <w:rPr>
          <w:shd w:val="clear" w:color="auto" w:fill="FFFFFF"/>
        </w:rPr>
        <w:t>(1), 4-33.</w:t>
      </w:r>
    </w:p>
    <w:p w14:paraId="3D7162F5" w14:textId="6EC85529" w:rsidR="00AC12D7" w:rsidRDefault="00057BDE" w:rsidP="00932338">
      <w:pPr>
        <w:pStyle w:val="Heading3"/>
      </w:pPr>
      <w:r>
        <w:t>Wednesday, January 26, 2022</w:t>
      </w:r>
      <w:r w:rsidR="00A51061">
        <w:t>:</w:t>
      </w:r>
      <w:r w:rsidR="00D87FEB">
        <w:t xml:space="preserve"> Ethnography and Environment</w:t>
      </w:r>
    </w:p>
    <w:p w14:paraId="051B7A44" w14:textId="7EAFB7AF" w:rsidR="000100E6" w:rsidRDefault="00920B00" w:rsidP="00920B00">
      <w:pPr>
        <w:ind w:left="1440" w:hanging="1440"/>
      </w:pPr>
      <w:r>
        <w:t>Required:</w:t>
      </w:r>
      <w:r>
        <w:tab/>
      </w:r>
      <w:proofErr w:type="spellStart"/>
      <w:r w:rsidR="000100E6">
        <w:t>Fortun</w:t>
      </w:r>
      <w:proofErr w:type="spellEnd"/>
      <w:r w:rsidR="000100E6">
        <w:t>, Kim. (2012). “Ethnography in Late Industrialism,” Cultural Anthropology 27(3): 446-464.</w:t>
      </w:r>
    </w:p>
    <w:p w14:paraId="3CFDACD6" w14:textId="228A784E" w:rsidR="00A51061" w:rsidRDefault="00A51061" w:rsidP="00920B00">
      <w:pPr>
        <w:ind w:left="1440"/>
      </w:pPr>
      <w:bookmarkStart w:id="9" w:name="_Hlk93583506"/>
      <w:r w:rsidRPr="00A51061">
        <w:t xml:space="preserve">West, P. </w:t>
      </w:r>
      <w:r w:rsidR="00AB27B5">
        <w:t>(</w:t>
      </w:r>
      <w:r w:rsidRPr="00A51061">
        <w:t>2005</w:t>
      </w:r>
      <w:r w:rsidR="00AB27B5">
        <w:t>)</w:t>
      </w:r>
      <w:r w:rsidRPr="00A51061">
        <w:t>. “Translation, Value, and Space: Theorizing an Ethnographic and Engaged Environmental Anthropology,” American Anthropologist 107(4): 632-642.</w:t>
      </w:r>
    </w:p>
    <w:bookmarkEnd w:id="9"/>
    <w:p w14:paraId="02FC8B77" w14:textId="43815DF3" w:rsidR="00A51061" w:rsidRPr="00A51061" w:rsidRDefault="00920B00" w:rsidP="00920B00">
      <w:pPr>
        <w:ind w:left="1440" w:hanging="1440"/>
      </w:pPr>
      <w:r>
        <w:rPr>
          <w:shd w:val="clear" w:color="auto" w:fill="FFFFFF"/>
        </w:rPr>
        <w:t>Optional:</w:t>
      </w:r>
      <w:r>
        <w:rPr>
          <w:shd w:val="clear" w:color="auto" w:fill="FFFFFF"/>
        </w:rPr>
        <w:tab/>
      </w:r>
      <w:r w:rsidR="00A51061">
        <w:rPr>
          <w:shd w:val="clear" w:color="auto" w:fill="FFFFFF"/>
        </w:rPr>
        <w:t>Cronon, W. (1992). A place for stories: Nature, history, and narrative. </w:t>
      </w:r>
      <w:r w:rsidR="00A51061">
        <w:rPr>
          <w:i/>
          <w:iCs/>
          <w:shd w:val="clear" w:color="auto" w:fill="FFFFFF"/>
        </w:rPr>
        <w:t>The Journal of American History</w:t>
      </w:r>
      <w:r w:rsidR="00A51061">
        <w:rPr>
          <w:shd w:val="clear" w:color="auto" w:fill="FFFFFF"/>
        </w:rPr>
        <w:t>, </w:t>
      </w:r>
      <w:r w:rsidR="00A51061">
        <w:rPr>
          <w:i/>
          <w:iCs/>
          <w:shd w:val="clear" w:color="auto" w:fill="FFFFFF"/>
        </w:rPr>
        <w:t>78</w:t>
      </w:r>
      <w:r w:rsidR="00A51061">
        <w:rPr>
          <w:shd w:val="clear" w:color="auto" w:fill="FFFFFF"/>
        </w:rPr>
        <w:t>(4), 1347-1376.</w:t>
      </w:r>
    </w:p>
    <w:p w14:paraId="320D93EA" w14:textId="4B23C845" w:rsidR="00265266" w:rsidRDefault="00CD6A77" w:rsidP="00932338">
      <w:pPr>
        <w:pStyle w:val="Heading3"/>
      </w:pPr>
      <w:r>
        <w:t xml:space="preserve">Monday, </w:t>
      </w:r>
      <w:bookmarkEnd w:id="6"/>
      <w:r w:rsidR="00057BDE">
        <w:t>January 31, 2022</w:t>
      </w:r>
      <w:r>
        <w:t xml:space="preserve">: </w:t>
      </w:r>
      <w:r w:rsidR="0070695C">
        <w:t xml:space="preserve">Writing </w:t>
      </w:r>
      <w:r w:rsidR="00D95E6A">
        <w:t>Ethnographic Fieldnotes</w:t>
      </w:r>
    </w:p>
    <w:p w14:paraId="592DB21A" w14:textId="5F249103" w:rsidR="00D95E6A" w:rsidRDefault="00833CD6" w:rsidP="00833CD6">
      <w:pPr>
        <w:spacing w:after="0"/>
        <w:ind w:left="1440" w:hanging="1440"/>
        <w:rPr>
          <w:shd w:val="clear" w:color="auto" w:fill="FFFFFF"/>
        </w:rPr>
      </w:pPr>
      <w:r>
        <w:rPr>
          <w:shd w:val="clear" w:color="auto" w:fill="FFFFFF"/>
        </w:rPr>
        <w:t>Required:</w:t>
      </w:r>
      <w:r>
        <w:rPr>
          <w:shd w:val="clear" w:color="auto" w:fill="FFFFFF"/>
        </w:rPr>
        <w:tab/>
      </w:r>
      <w:r w:rsidR="00D95E6A">
        <w:rPr>
          <w:shd w:val="clear" w:color="auto" w:fill="FFFFFF"/>
        </w:rPr>
        <w:t xml:space="preserve">Emerson, R. M., </w:t>
      </w:r>
      <w:proofErr w:type="spellStart"/>
      <w:r w:rsidR="00D95E6A">
        <w:rPr>
          <w:shd w:val="clear" w:color="auto" w:fill="FFFFFF"/>
        </w:rPr>
        <w:t>Fretz</w:t>
      </w:r>
      <w:proofErr w:type="spellEnd"/>
      <w:r w:rsidR="00D95E6A">
        <w:rPr>
          <w:shd w:val="clear" w:color="auto" w:fill="FFFFFF"/>
        </w:rPr>
        <w:t>, R. I., &amp; Shaw, L. L. (2011). </w:t>
      </w:r>
      <w:r w:rsidR="00D95E6A">
        <w:rPr>
          <w:i/>
          <w:iCs/>
          <w:shd w:val="clear" w:color="auto" w:fill="FFFFFF"/>
        </w:rPr>
        <w:t>Writing ethnographic fieldnotes</w:t>
      </w:r>
      <w:r w:rsidR="00D95E6A">
        <w:rPr>
          <w:shd w:val="clear" w:color="auto" w:fill="FFFFFF"/>
        </w:rPr>
        <w:t>. University of Chicago Press.</w:t>
      </w:r>
    </w:p>
    <w:p w14:paraId="2A1DAF14" w14:textId="58E57309" w:rsidR="00D95E6A" w:rsidRPr="00D95E6A" w:rsidRDefault="00D95E6A" w:rsidP="00D95E6A">
      <w:pPr>
        <w:pStyle w:val="ListParagraph"/>
        <w:numPr>
          <w:ilvl w:val="0"/>
          <w:numId w:val="35"/>
        </w:numPr>
      </w:pPr>
      <w:r>
        <w:t>Chapters 1-2 (pp. 1-43)</w:t>
      </w:r>
    </w:p>
    <w:p w14:paraId="073F6484" w14:textId="7F065865" w:rsidR="00D95E6A" w:rsidRDefault="00CD6A77" w:rsidP="00D95E6A">
      <w:pPr>
        <w:pStyle w:val="Heading3"/>
      </w:pPr>
      <w:bookmarkStart w:id="10" w:name="_Hlk60908661"/>
      <w:r>
        <w:t xml:space="preserve">Wednesday, February </w:t>
      </w:r>
      <w:r w:rsidR="00057BDE">
        <w:t>2</w:t>
      </w:r>
      <w:r>
        <w:t>, 202</w:t>
      </w:r>
      <w:bookmarkEnd w:id="10"/>
      <w:r w:rsidR="00057BDE">
        <w:t>2</w:t>
      </w:r>
      <w:r>
        <w:t xml:space="preserve">: </w:t>
      </w:r>
      <w:r w:rsidR="0070695C">
        <w:t>Crafting Ethnographic Narratives</w:t>
      </w:r>
    </w:p>
    <w:p w14:paraId="45B765FC" w14:textId="0AA37329" w:rsidR="00833CD6" w:rsidRDefault="00833CD6" w:rsidP="00833CD6">
      <w:pPr>
        <w:ind w:left="1440" w:hanging="1440"/>
        <w:rPr>
          <w:shd w:val="clear" w:color="auto" w:fill="FFFFFF"/>
        </w:rPr>
      </w:pPr>
      <w:r>
        <w:rPr>
          <w:shd w:val="clear" w:color="auto" w:fill="FFFFFF"/>
        </w:rPr>
        <w:t>Required:</w:t>
      </w:r>
      <w:r>
        <w:rPr>
          <w:shd w:val="clear" w:color="auto" w:fill="FFFFFF"/>
        </w:rPr>
        <w:tab/>
      </w:r>
      <w:proofErr w:type="spellStart"/>
      <w:r w:rsidRPr="00833CD6">
        <w:rPr>
          <w:shd w:val="clear" w:color="auto" w:fill="FFFFFF"/>
        </w:rPr>
        <w:t>Bönisch-Brednich</w:t>
      </w:r>
      <w:proofErr w:type="spellEnd"/>
      <w:r w:rsidRPr="00833CD6">
        <w:rPr>
          <w:shd w:val="clear" w:color="auto" w:fill="FFFFFF"/>
        </w:rPr>
        <w:t>, B. (2018). Writing the ethnographic story: Constructing narrative out of narratives. Fabula, 59(1-2), 8-26.</w:t>
      </w:r>
    </w:p>
    <w:p w14:paraId="3B859BD9" w14:textId="57E5C23B" w:rsidR="00833CD6" w:rsidRDefault="00833CD6" w:rsidP="00833CD6">
      <w:pPr>
        <w:ind w:left="1440" w:hanging="1440"/>
        <w:rPr>
          <w:shd w:val="clear" w:color="auto" w:fill="FFFFFF"/>
        </w:rPr>
      </w:pPr>
      <w:r>
        <w:rPr>
          <w:shd w:val="clear" w:color="auto" w:fill="FFFFFF"/>
        </w:rPr>
        <w:tab/>
      </w:r>
      <w:r w:rsidRPr="00833CD6">
        <w:rPr>
          <w:shd w:val="clear" w:color="auto" w:fill="FFFFFF"/>
        </w:rPr>
        <w:t>Cronon, W. (1992). A place for stories: Nature, history, and narrative. The journal of American history, 78(4), 1347-1376.</w:t>
      </w:r>
    </w:p>
    <w:p w14:paraId="2459310B" w14:textId="07320E6B" w:rsidR="00833CD6" w:rsidRPr="00833CD6" w:rsidRDefault="00833CD6" w:rsidP="00833CD6">
      <w:pPr>
        <w:ind w:left="1440"/>
      </w:pPr>
      <w:r>
        <w:t xml:space="preserve">Q&amp;A: Ira Glass on Structuring Stories, Asking Hard Questions. </w:t>
      </w:r>
      <w:r>
        <w:rPr>
          <w:rFonts w:ascii="Garamond-Italic" w:hAnsi="Garamond-Italic" w:cs="Garamond-Italic"/>
          <w:i/>
          <w:iCs/>
        </w:rPr>
        <w:t>Columbia Journalism Review</w:t>
      </w:r>
      <w:r>
        <w:t xml:space="preserve">. June 22, 2017. (Or listen to the podcast interview: </w:t>
      </w:r>
      <w:r>
        <w:rPr>
          <w:rFonts w:ascii="Garamond-Italic" w:hAnsi="Garamond-Italic" w:cs="Garamond-Italic"/>
          <w:i/>
          <w:iCs/>
        </w:rPr>
        <w:t xml:space="preserve">The Turnaround </w:t>
      </w:r>
      <w:r>
        <w:t xml:space="preserve">with Jesse Thorn; </w:t>
      </w:r>
      <w:hyperlink r:id="rId31" w:history="1">
        <w:r w:rsidRPr="00420192">
          <w:rPr>
            <w:rStyle w:val="Hyperlink"/>
          </w:rPr>
          <w:t>https://www.cjr.org/turnaround</w:t>
        </w:r>
      </w:hyperlink>
      <w:r>
        <w:t>)</w:t>
      </w:r>
    </w:p>
    <w:p w14:paraId="5AC76AB6" w14:textId="30A50934" w:rsidR="0070695C" w:rsidRDefault="00833CD6" w:rsidP="00833CD6">
      <w:pPr>
        <w:ind w:left="1440" w:hanging="1440"/>
        <w:rPr>
          <w:shd w:val="clear" w:color="auto" w:fill="FFFFFF"/>
        </w:rPr>
      </w:pPr>
      <w:r>
        <w:rPr>
          <w:shd w:val="clear" w:color="auto" w:fill="FFFFFF"/>
        </w:rPr>
        <w:t>Optional:</w:t>
      </w:r>
      <w:r>
        <w:rPr>
          <w:shd w:val="clear" w:color="auto" w:fill="FFFFFF"/>
        </w:rPr>
        <w:tab/>
      </w:r>
      <w:proofErr w:type="spellStart"/>
      <w:r w:rsidR="0070695C">
        <w:rPr>
          <w:shd w:val="clear" w:color="auto" w:fill="FFFFFF"/>
        </w:rPr>
        <w:t>Ghodsee</w:t>
      </w:r>
      <w:proofErr w:type="spellEnd"/>
      <w:r w:rsidR="0070695C">
        <w:rPr>
          <w:shd w:val="clear" w:color="auto" w:fill="FFFFFF"/>
        </w:rPr>
        <w:t>, K. (2016). </w:t>
      </w:r>
      <w:r w:rsidR="0070695C" w:rsidRPr="0070695C">
        <w:rPr>
          <w:i/>
          <w:iCs/>
          <w:shd w:val="clear" w:color="auto" w:fill="FFFFFF"/>
        </w:rPr>
        <w:t>From notes to narrative: Writing ethnographies that everyone can read</w:t>
      </w:r>
      <w:r w:rsidR="0070695C">
        <w:rPr>
          <w:shd w:val="clear" w:color="auto" w:fill="FFFFFF"/>
        </w:rPr>
        <w:t>. University of Chicago Press.</w:t>
      </w:r>
      <w:r w:rsidR="00E777AB">
        <w:rPr>
          <w:shd w:val="clear" w:color="auto" w:fill="FFFFFF"/>
        </w:rPr>
        <w:t xml:space="preserve"> </w:t>
      </w:r>
      <w:r>
        <w:rPr>
          <w:shd w:val="clear" w:color="auto" w:fill="FFFFFF"/>
        </w:rPr>
        <w:t>[If you’re doing an ethnographic final project and would like to consult this book, let me know!]</w:t>
      </w:r>
    </w:p>
    <w:p w14:paraId="745EC9E0" w14:textId="74409E44" w:rsidR="00D95E6A" w:rsidRDefault="00D95E6A" w:rsidP="00833CD6">
      <w:pPr>
        <w:ind w:left="1440"/>
      </w:pPr>
      <w:proofErr w:type="spellStart"/>
      <w:r>
        <w:t>Fassin</w:t>
      </w:r>
      <w:proofErr w:type="spellEnd"/>
      <w:r>
        <w:t xml:space="preserve">, Didier. </w:t>
      </w:r>
      <w:r w:rsidR="00AB27B5">
        <w:t>(</w:t>
      </w:r>
      <w:r>
        <w:t>2014</w:t>
      </w:r>
      <w:r w:rsidR="00AB27B5">
        <w:t>)</w:t>
      </w:r>
      <w:r>
        <w:t>. “True Life, Real Lives: Revisiting the Boundaries Between Ethnography and</w:t>
      </w:r>
      <w:r w:rsidR="00526B86">
        <w:t xml:space="preserve"> </w:t>
      </w:r>
      <w:r>
        <w:t xml:space="preserve">Fiction. </w:t>
      </w:r>
      <w:r>
        <w:rPr>
          <w:rFonts w:ascii="Garamond-Italic" w:hAnsi="Garamond-Italic" w:cs="Garamond-Italic"/>
          <w:i/>
          <w:iCs/>
        </w:rPr>
        <w:t xml:space="preserve">American Ethnologist </w:t>
      </w:r>
      <w:r>
        <w:t>41(1): 40-55.</w:t>
      </w:r>
    </w:p>
    <w:p w14:paraId="7C6B751B" w14:textId="57CEC8F0" w:rsidR="004D653A" w:rsidRDefault="004D653A" w:rsidP="004D653A">
      <w:pPr>
        <w:pStyle w:val="Heading2"/>
        <w:jc w:val="center"/>
      </w:pPr>
      <w:bookmarkStart w:id="11" w:name="_Hlk60908680"/>
      <w:r>
        <w:lastRenderedPageBreak/>
        <w:t>Part 2: Extraction, Connection, and Conservation</w:t>
      </w:r>
    </w:p>
    <w:p w14:paraId="4507F8EF" w14:textId="41AF480A" w:rsidR="001A30DA" w:rsidRDefault="00CD6A77" w:rsidP="00932338">
      <w:pPr>
        <w:pStyle w:val="Heading3"/>
      </w:pPr>
      <w:r>
        <w:t xml:space="preserve">Monday, February </w:t>
      </w:r>
      <w:r w:rsidR="00057BDE">
        <w:t>7</w:t>
      </w:r>
      <w:r>
        <w:t>, 202</w:t>
      </w:r>
      <w:bookmarkEnd w:id="11"/>
      <w:r w:rsidR="00942945">
        <w:t>2</w:t>
      </w:r>
      <w:r w:rsidR="0070695C">
        <w:t>:</w:t>
      </w:r>
      <w:r w:rsidR="00A525A5">
        <w:t xml:space="preserve"> </w:t>
      </w:r>
      <w:r w:rsidR="00D87FEB">
        <w:t>Ethnographies of Extraction – Part I</w:t>
      </w:r>
    </w:p>
    <w:p w14:paraId="7DB8A754" w14:textId="1264E1E8" w:rsidR="00714536" w:rsidRDefault="00714536" w:rsidP="00F9066D">
      <w:pPr>
        <w:spacing w:after="0"/>
        <w:rPr>
          <w:shd w:val="clear" w:color="auto" w:fill="FFFFFF"/>
        </w:rPr>
      </w:pPr>
      <w:r w:rsidRPr="00714536">
        <w:rPr>
          <w:shd w:val="clear" w:color="auto" w:fill="FFFFFF"/>
        </w:rPr>
        <w:t>Appel, H. (2019). </w:t>
      </w:r>
      <w:r w:rsidRPr="00714536">
        <w:rPr>
          <w:i/>
          <w:iCs/>
          <w:shd w:val="clear" w:color="auto" w:fill="FFFFFF"/>
        </w:rPr>
        <w:t>The licit life of capitalism: US oil in Equatorial Guinea</w:t>
      </w:r>
      <w:r w:rsidRPr="00714536">
        <w:rPr>
          <w:shd w:val="clear" w:color="auto" w:fill="FFFFFF"/>
        </w:rPr>
        <w:t> (p. 344). Duke University Press.</w:t>
      </w:r>
    </w:p>
    <w:p w14:paraId="0ED0DD97" w14:textId="77777777" w:rsidR="00F9066D" w:rsidRPr="00F9066D" w:rsidRDefault="00F9066D" w:rsidP="00F9066D">
      <w:pPr>
        <w:pStyle w:val="ListParagraph"/>
        <w:numPr>
          <w:ilvl w:val="0"/>
          <w:numId w:val="35"/>
        </w:numPr>
        <w:spacing w:after="0"/>
        <w:rPr>
          <w:shd w:val="clear" w:color="auto" w:fill="FFFFFF"/>
        </w:rPr>
      </w:pPr>
      <w:r w:rsidRPr="00F9066D">
        <w:rPr>
          <w:shd w:val="clear" w:color="auto" w:fill="FFFFFF"/>
        </w:rPr>
        <w:t>Introduction (pp. 1-36)</w:t>
      </w:r>
    </w:p>
    <w:p w14:paraId="45B8147A" w14:textId="3857792F" w:rsidR="00F9066D" w:rsidRPr="00F9066D" w:rsidRDefault="00F9066D" w:rsidP="00F9066D">
      <w:pPr>
        <w:pStyle w:val="ListParagraph"/>
        <w:numPr>
          <w:ilvl w:val="0"/>
          <w:numId w:val="35"/>
        </w:numPr>
        <w:rPr>
          <w:shd w:val="clear" w:color="auto" w:fill="FFFFFF"/>
        </w:rPr>
      </w:pPr>
      <w:r w:rsidRPr="00F9066D">
        <w:rPr>
          <w:shd w:val="clear" w:color="auto" w:fill="FFFFFF"/>
        </w:rPr>
        <w:t>Chapter 1: The Offshore (pp. 37-78)</w:t>
      </w:r>
    </w:p>
    <w:p w14:paraId="2294C8D5" w14:textId="7716A3BD" w:rsidR="00E014D4" w:rsidRDefault="00CD6A77" w:rsidP="00932338">
      <w:pPr>
        <w:pStyle w:val="Heading3"/>
      </w:pPr>
      <w:bookmarkStart w:id="12" w:name="_Hlk60908698"/>
      <w:r w:rsidRPr="00DA095E">
        <w:t xml:space="preserve">Wednesday, </w:t>
      </w:r>
      <w:r>
        <w:t xml:space="preserve">February </w:t>
      </w:r>
      <w:r w:rsidR="00057BDE">
        <w:t>9</w:t>
      </w:r>
      <w:r>
        <w:t>, 202</w:t>
      </w:r>
      <w:bookmarkEnd w:id="12"/>
      <w:r w:rsidR="00942945">
        <w:t>2</w:t>
      </w:r>
      <w:r>
        <w:t>:</w:t>
      </w:r>
      <w:r w:rsidR="00D87FEB">
        <w:t xml:space="preserve"> Ethnographies of Extraction – Part II</w:t>
      </w:r>
    </w:p>
    <w:p w14:paraId="477A7E6A" w14:textId="06582BA6" w:rsidR="00714536" w:rsidRDefault="00714536" w:rsidP="00F9066D">
      <w:pPr>
        <w:spacing w:after="0"/>
        <w:rPr>
          <w:shd w:val="clear" w:color="auto" w:fill="FFFFFF"/>
        </w:rPr>
      </w:pPr>
      <w:r w:rsidRPr="00714536">
        <w:rPr>
          <w:shd w:val="clear" w:color="auto" w:fill="FFFFFF"/>
        </w:rPr>
        <w:t>Appel, H. (2019). </w:t>
      </w:r>
      <w:r w:rsidRPr="00714536">
        <w:rPr>
          <w:i/>
          <w:iCs/>
          <w:shd w:val="clear" w:color="auto" w:fill="FFFFFF"/>
        </w:rPr>
        <w:t>The licit life of capitalism: US oil in Equatorial Guinea</w:t>
      </w:r>
      <w:r w:rsidRPr="00714536">
        <w:rPr>
          <w:shd w:val="clear" w:color="auto" w:fill="FFFFFF"/>
        </w:rPr>
        <w:t> (p. 344). Duke University Press.</w:t>
      </w:r>
    </w:p>
    <w:p w14:paraId="7F8F33FA" w14:textId="5523F4E9" w:rsidR="00F9066D" w:rsidRDefault="00F9066D" w:rsidP="00F9066D">
      <w:pPr>
        <w:pStyle w:val="ListParagraph"/>
        <w:numPr>
          <w:ilvl w:val="0"/>
          <w:numId w:val="37"/>
        </w:numPr>
        <w:rPr>
          <w:shd w:val="clear" w:color="auto" w:fill="FFFFFF"/>
        </w:rPr>
      </w:pPr>
      <w:r>
        <w:rPr>
          <w:shd w:val="clear" w:color="auto" w:fill="FFFFFF"/>
        </w:rPr>
        <w:t>Chapter 2: The Enclave (pp. 79-136)</w:t>
      </w:r>
    </w:p>
    <w:p w14:paraId="60EBBC64" w14:textId="01F6528E" w:rsidR="00BD0BC5" w:rsidRPr="00714536" w:rsidRDefault="00CD6A77" w:rsidP="00932338">
      <w:pPr>
        <w:pStyle w:val="Heading3"/>
      </w:pPr>
      <w:bookmarkStart w:id="13" w:name="_Hlk60908718"/>
      <w:r w:rsidRPr="00714536">
        <w:t xml:space="preserve">Monday, February </w:t>
      </w:r>
      <w:r w:rsidR="00057BDE" w:rsidRPr="00714536">
        <w:t>14</w:t>
      </w:r>
      <w:r w:rsidRPr="00714536">
        <w:t>, 202</w:t>
      </w:r>
      <w:bookmarkEnd w:id="13"/>
      <w:r w:rsidR="00942945" w:rsidRPr="00714536">
        <w:t>2</w:t>
      </w:r>
      <w:r w:rsidRPr="00714536">
        <w:t xml:space="preserve">: </w:t>
      </w:r>
      <w:r w:rsidR="00D87FEB">
        <w:t>Ethnographies of Connection – Part I</w:t>
      </w:r>
    </w:p>
    <w:p w14:paraId="0AFCEE79" w14:textId="1B4D9001" w:rsidR="00714536" w:rsidRDefault="00714536" w:rsidP="005B2B6F">
      <w:pPr>
        <w:spacing w:after="0"/>
        <w:rPr>
          <w:shd w:val="clear" w:color="auto" w:fill="FFFFFF"/>
        </w:rPr>
      </w:pPr>
      <w:r w:rsidRPr="00714536">
        <w:rPr>
          <w:shd w:val="clear" w:color="auto" w:fill="FFFFFF"/>
        </w:rPr>
        <w:t>Tsing, A. L. (2011). </w:t>
      </w:r>
      <w:r w:rsidRPr="00714536">
        <w:rPr>
          <w:i/>
          <w:iCs/>
          <w:shd w:val="clear" w:color="auto" w:fill="FFFFFF"/>
        </w:rPr>
        <w:t>Friction: An ethnography of global connection</w:t>
      </w:r>
      <w:r w:rsidRPr="00714536">
        <w:rPr>
          <w:shd w:val="clear" w:color="auto" w:fill="FFFFFF"/>
        </w:rPr>
        <w:t>. Princeton University Press.</w:t>
      </w:r>
      <w:r w:rsidR="00E777AB">
        <w:rPr>
          <w:shd w:val="clear" w:color="auto" w:fill="FFFFFF"/>
        </w:rPr>
        <w:t xml:space="preserve"> </w:t>
      </w:r>
    </w:p>
    <w:p w14:paraId="099A3BC0" w14:textId="15121B0E" w:rsidR="005B2B6F" w:rsidRDefault="006164A9" w:rsidP="005B2B6F">
      <w:pPr>
        <w:pStyle w:val="ListParagraph"/>
        <w:numPr>
          <w:ilvl w:val="0"/>
          <w:numId w:val="37"/>
        </w:numPr>
        <w:rPr>
          <w:shd w:val="clear" w:color="auto" w:fill="FFFFFF"/>
        </w:rPr>
      </w:pPr>
      <w:r>
        <w:rPr>
          <w:shd w:val="clear" w:color="auto" w:fill="FFFFFF"/>
        </w:rPr>
        <w:t>Introduction (pp. 1-20)</w:t>
      </w:r>
    </w:p>
    <w:p w14:paraId="72A4A034" w14:textId="1FD12B1A" w:rsidR="006164A9" w:rsidRDefault="006164A9" w:rsidP="005B2B6F">
      <w:pPr>
        <w:pStyle w:val="ListParagraph"/>
        <w:numPr>
          <w:ilvl w:val="0"/>
          <w:numId w:val="37"/>
        </w:numPr>
        <w:rPr>
          <w:shd w:val="clear" w:color="auto" w:fill="FFFFFF"/>
        </w:rPr>
      </w:pPr>
      <w:r>
        <w:rPr>
          <w:shd w:val="clear" w:color="auto" w:fill="FFFFFF"/>
        </w:rPr>
        <w:t>“Better you had brough me a bomb, so I could blow this place up” (pp. 21-26)</w:t>
      </w:r>
    </w:p>
    <w:p w14:paraId="548E4D5B" w14:textId="296305B8" w:rsidR="006164A9" w:rsidRDefault="006164A9" w:rsidP="005B2B6F">
      <w:pPr>
        <w:pStyle w:val="ListParagraph"/>
        <w:numPr>
          <w:ilvl w:val="0"/>
          <w:numId w:val="37"/>
        </w:numPr>
        <w:rPr>
          <w:shd w:val="clear" w:color="auto" w:fill="FFFFFF"/>
        </w:rPr>
      </w:pPr>
      <w:r>
        <w:rPr>
          <w:shd w:val="clear" w:color="auto" w:fill="FFFFFF"/>
        </w:rPr>
        <w:t>Chapter 1: Frontiers of Capitalism (pp. 27-50)</w:t>
      </w:r>
    </w:p>
    <w:p w14:paraId="56DF324B" w14:textId="78D94B90" w:rsidR="006164A9" w:rsidRDefault="006164A9" w:rsidP="005B2B6F">
      <w:pPr>
        <w:pStyle w:val="ListParagraph"/>
        <w:numPr>
          <w:ilvl w:val="0"/>
          <w:numId w:val="37"/>
        </w:numPr>
        <w:rPr>
          <w:shd w:val="clear" w:color="auto" w:fill="FFFFFF"/>
        </w:rPr>
      </w:pPr>
      <w:r>
        <w:rPr>
          <w:shd w:val="clear" w:color="auto" w:fill="FFFFFF"/>
        </w:rPr>
        <w:t>“The communicate only in sign language” (pp. 51-54)</w:t>
      </w:r>
    </w:p>
    <w:p w14:paraId="4334BC5D" w14:textId="762D8EC3" w:rsidR="006164A9" w:rsidRDefault="006164A9" w:rsidP="006164A9">
      <w:pPr>
        <w:spacing w:after="0"/>
        <w:rPr>
          <w:shd w:val="clear" w:color="auto" w:fill="FFFFFF"/>
        </w:rPr>
      </w:pPr>
      <w:r>
        <w:rPr>
          <w:shd w:val="clear" w:color="auto" w:fill="FFFFFF"/>
        </w:rPr>
        <w:t>Optional:</w:t>
      </w:r>
    </w:p>
    <w:p w14:paraId="6D8A6A49" w14:textId="26BFE45E" w:rsidR="006164A9" w:rsidRPr="006164A9" w:rsidRDefault="006164A9" w:rsidP="006164A9">
      <w:pPr>
        <w:pStyle w:val="ListParagraph"/>
        <w:numPr>
          <w:ilvl w:val="0"/>
          <w:numId w:val="38"/>
        </w:numPr>
        <w:rPr>
          <w:shd w:val="clear" w:color="auto" w:fill="FFFFFF"/>
        </w:rPr>
      </w:pPr>
      <w:r>
        <w:rPr>
          <w:shd w:val="clear" w:color="auto" w:fill="FFFFFF"/>
        </w:rPr>
        <w:t xml:space="preserve">Chapter 2: </w:t>
      </w:r>
      <w:r w:rsidR="00A762C5">
        <w:rPr>
          <w:shd w:val="clear" w:color="auto" w:fill="FFFFFF"/>
        </w:rPr>
        <w:t>The Economy of Appearances (pp. 55-77)</w:t>
      </w:r>
    </w:p>
    <w:p w14:paraId="4986E2ED" w14:textId="20F03EED" w:rsidR="00D06A44" w:rsidRDefault="00CD6A77" w:rsidP="00932338">
      <w:pPr>
        <w:pStyle w:val="Heading3"/>
      </w:pPr>
      <w:bookmarkStart w:id="14" w:name="_Hlk60908731"/>
      <w:r w:rsidRPr="00714536">
        <w:t>Wednesday, February 1</w:t>
      </w:r>
      <w:r w:rsidR="00057BDE" w:rsidRPr="00714536">
        <w:t>6</w:t>
      </w:r>
      <w:r w:rsidRPr="00714536">
        <w:t>, 202</w:t>
      </w:r>
      <w:bookmarkEnd w:id="14"/>
      <w:r w:rsidR="00942945" w:rsidRPr="00714536">
        <w:t>2</w:t>
      </w:r>
      <w:r w:rsidRPr="00714536">
        <w:t>:</w:t>
      </w:r>
      <w:r w:rsidR="00A525A5" w:rsidRPr="00714536">
        <w:t xml:space="preserve"> </w:t>
      </w:r>
      <w:r w:rsidR="00D87FEB">
        <w:t>Ethnographies of Connection – Part II</w:t>
      </w:r>
    </w:p>
    <w:p w14:paraId="64409D45" w14:textId="2370B1E4" w:rsidR="00714536" w:rsidRDefault="00714536" w:rsidP="005B2B6F">
      <w:pPr>
        <w:spacing w:after="0"/>
        <w:rPr>
          <w:shd w:val="clear" w:color="auto" w:fill="FFFFFF"/>
        </w:rPr>
      </w:pPr>
      <w:r w:rsidRPr="00714536">
        <w:rPr>
          <w:shd w:val="clear" w:color="auto" w:fill="FFFFFF"/>
        </w:rPr>
        <w:t>Tsing, A. L. (2011). </w:t>
      </w:r>
      <w:r w:rsidRPr="00714536">
        <w:rPr>
          <w:i/>
          <w:iCs/>
          <w:shd w:val="clear" w:color="auto" w:fill="FFFFFF"/>
        </w:rPr>
        <w:t>Friction: An ethnography of global connection</w:t>
      </w:r>
      <w:r w:rsidRPr="00714536">
        <w:rPr>
          <w:shd w:val="clear" w:color="auto" w:fill="FFFFFF"/>
        </w:rPr>
        <w:t>. Princeton University Press.</w:t>
      </w:r>
      <w:r w:rsidR="00E777AB">
        <w:rPr>
          <w:shd w:val="clear" w:color="auto" w:fill="FFFFFF"/>
        </w:rPr>
        <w:t xml:space="preserve"> </w:t>
      </w:r>
    </w:p>
    <w:p w14:paraId="35653F89" w14:textId="287CA82A" w:rsidR="005B2B6F" w:rsidRDefault="006164A9" w:rsidP="005B2B6F">
      <w:pPr>
        <w:pStyle w:val="ListParagraph"/>
        <w:numPr>
          <w:ilvl w:val="0"/>
          <w:numId w:val="37"/>
        </w:numPr>
        <w:rPr>
          <w:shd w:val="clear" w:color="auto" w:fill="FFFFFF"/>
        </w:rPr>
      </w:pPr>
      <w:r>
        <w:rPr>
          <w:shd w:val="clear" w:color="auto" w:fill="FFFFFF"/>
        </w:rPr>
        <w:t>“This earth, this island Borneo” (pp. 155-170)</w:t>
      </w:r>
    </w:p>
    <w:p w14:paraId="514C1BDD" w14:textId="27463694" w:rsidR="006164A9" w:rsidRDefault="006164A9" w:rsidP="005B2B6F">
      <w:pPr>
        <w:pStyle w:val="ListParagraph"/>
        <w:numPr>
          <w:ilvl w:val="0"/>
          <w:numId w:val="37"/>
        </w:numPr>
        <w:rPr>
          <w:shd w:val="clear" w:color="auto" w:fill="FFFFFF"/>
        </w:rPr>
      </w:pPr>
      <w:r>
        <w:rPr>
          <w:shd w:val="clear" w:color="auto" w:fill="FFFFFF"/>
        </w:rPr>
        <w:t>“A hair in the flour” (pp. 205-212)</w:t>
      </w:r>
    </w:p>
    <w:p w14:paraId="4BA890B3" w14:textId="2089DBD8" w:rsidR="006164A9" w:rsidRDefault="006164A9" w:rsidP="005B2B6F">
      <w:pPr>
        <w:pStyle w:val="ListParagraph"/>
        <w:numPr>
          <w:ilvl w:val="0"/>
          <w:numId w:val="37"/>
        </w:numPr>
        <w:rPr>
          <w:shd w:val="clear" w:color="auto" w:fill="FFFFFF"/>
        </w:rPr>
      </w:pPr>
      <w:r>
        <w:rPr>
          <w:shd w:val="clear" w:color="auto" w:fill="FFFFFF"/>
        </w:rPr>
        <w:t>Chapter 6: Movements (pp. 213-238)</w:t>
      </w:r>
    </w:p>
    <w:p w14:paraId="63C3C44F" w14:textId="0C8C2E4F" w:rsidR="006164A9" w:rsidRPr="005B2B6F" w:rsidRDefault="006164A9" w:rsidP="005B2B6F">
      <w:pPr>
        <w:pStyle w:val="ListParagraph"/>
        <w:numPr>
          <w:ilvl w:val="0"/>
          <w:numId w:val="37"/>
        </w:numPr>
        <w:rPr>
          <w:shd w:val="clear" w:color="auto" w:fill="FFFFFF"/>
        </w:rPr>
      </w:pPr>
      <w:r>
        <w:rPr>
          <w:shd w:val="clear" w:color="auto" w:fill="FFFFFF"/>
        </w:rPr>
        <w:t>“Facilities and incentives” (pp. 239-244)</w:t>
      </w:r>
    </w:p>
    <w:p w14:paraId="48E4DA84" w14:textId="27B8A88F" w:rsidR="00EA7551" w:rsidRDefault="00CD6A77" w:rsidP="00932338">
      <w:pPr>
        <w:pStyle w:val="Heading3"/>
      </w:pPr>
      <w:bookmarkStart w:id="15" w:name="_Hlk60908753"/>
      <w:r>
        <w:t>Monday, February 2</w:t>
      </w:r>
      <w:r w:rsidR="00057BDE">
        <w:t>1</w:t>
      </w:r>
      <w:r>
        <w:t>, 202</w:t>
      </w:r>
      <w:bookmarkEnd w:id="15"/>
      <w:r w:rsidR="00942945">
        <w:t>2</w:t>
      </w:r>
      <w:r>
        <w:t xml:space="preserve">: </w:t>
      </w:r>
      <w:r w:rsidR="00D87FEB">
        <w:t>Ethnographies of Conservation – Part I</w:t>
      </w:r>
    </w:p>
    <w:p w14:paraId="510E783C" w14:textId="716E2AEF" w:rsidR="00714536" w:rsidRDefault="00714536" w:rsidP="00096493">
      <w:pPr>
        <w:spacing w:after="0"/>
        <w:rPr>
          <w:shd w:val="clear" w:color="auto" w:fill="FFFFFF"/>
        </w:rPr>
      </w:pPr>
      <w:r w:rsidRPr="00714536">
        <w:rPr>
          <w:shd w:val="clear" w:color="auto" w:fill="FFFFFF"/>
        </w:rPr>
        <w:t>Walsh, A. (2012). </w:t>
      </w:r>
      <w:r w:rsidRPr="00714536">
        <w:rPr>
          <w:i/>
          <w:iCs/>
          <w:shd w:val="clear" w:color="auto" w:fill="FFFFFF"/>
        </w:rPr>
        <w:t>Made in Madagascar: Sapphires, ecotourism, and the global bazaar</w:t>
      </w:r>
      <w:r w:rsidRPr="00714536">
        <w:rPr>
          <w:shd w:val="clear" w:color="auto" w:fill="FFFFFF"/>
        </w:rPr>
        <w:t>. University of Toronto Press.</w:t>
      </w:r>
    </w:p>
    <w:p w14:paraId="2A71F9B4" w14:textId="06193283" w:rsidR="00096493" w:rsidRDefault="00096493" w:rsidP="00096493">
      <w:pPr>
        <w:pStyle w:val="ListParagraph"/>
        <w:numPr>
          <w:ilvl w:val="0"/>
          <w:numId w:val="39"/>
        </w:numPr>
        <w:rPr>
          <w:shd w:val="clear" w:color="auto" w:fill="FFFFFF"/>
        </w:rPr>
      </w:pPr>
      <w:r>
        <w:rPr>
          <w:shd w:val="clear" w:color="auto" w:fill="FFFFFF"/>
        </w:rPr>
        <w:t>Introduction: Links (pp. xv-xxx)</w:t>
      </w:r>
    </w:p>
    <w:p w14:paraId="7C9904BB" w14:textId="7539A6A7" w:rsidR="00096493" w:rsidRDefault="00096493" w:rsidP="00096493">
      <w:pPr>
        <w:pStyle w:val="ListParagraph"/>
        <w:numPr>
          <w:ilvl w:val="0"/>
          <w:numId w:val="39"/>
        </w:numPr>
        <w:rPr>
          <w:shd w:val="clear" w:color="auto" w:fill="FFFFFF"/>
        </w:rPr>
      </w:pPr>
      <w:r>
        <w:rPr>
          <w:shd w:val="clear" w:color="auto" w:fill="FFFFFF"/>
        </w:rPr>
        <w:t>Chapter 1: The Place of the Rocks (pp. 1-23)</w:t>
      </w:r>
    </w:p>
    <w:p w14:paraId="19DADC8D" w14:textId="592544CA" w:rsidR="00096493" w:rsidRDefault="00096493" w:rsidP="00096493">
      <w:pPr>
        <w:pStyle w:val="ListParagraph"/>
        <w:numPr>
          <w:ilvl w:val="0"/>
          <w:numId w:val="39"/>
        </w:numPr>
        <w:rPr>
          <w:shd w:val="clear" w:color="auto" w:fill="FFFFFF"/>
        </w:rPr>
      </w:pPr>
      <w:r>
        <w:rPr>
          <w:shd w:val="clear" w:color="auto" w:fill="FFFFFF"/>
        </w:rPr>
        <w:t>Chapter 2: Living in the Wake of Sapphires (pp. 23-48)</w:t>
      </w:r>
    </w:p>
    <w:p w14:paraId="05CCEB34" w14:textId="77777777" w:rsidR="00096493" w:rsidRPr="00096493" w:rsidRDefault="00096493" w:rsidP="00096493">
      <w:pPr>
        <w:rPr>
          <w:shd w:val="clear" w:color="auto" w:fill="FFFFFF"/>
        </w:rPr>
      </w:pPr>
    </w:p>
    <w:p w14:paraId="0AD32259" w14:textId="051C903C" w:rsidR="001E74FE" w:rsidRDefault="00CD6A77" w:rsidP="00932338">
      <w:pPr>
        <w:pStyle w:val="Heading3"/>
      </w:pPr>
      <w:bookmarkStart w:id="16" w:name="_Hlk60908767"/>
      <w:r w:rsidRPr="00163BE6">
        <w:lastRenderedPageBreak/>
        <w:t>Wednesday, February 2</w:t>
      </w:r>
      <w:r w:rsidR="00057BDE">
        <w:t>3</w:t>
      </w:r>
      <w:r w:rsidRPr="00163BE6">
        <w:t>, 202</w:t>
      </w:r>
      <w:bookmarkEnd w:id="16"/>
      <w:r w:rsidR="00942945">
        <w:t>2:</w:t>
      </w:r>
      <w:r w:rsidR="00D87FEB">
        <w:t xml:space="preserve"> Ethnographies of Conservation – Part II</w:t>
      </w:r>
    </w:p>
    <w:p w14:paraId="5FC97DE6" w14:textId="3F371A81" w:rsidR="00714536" w:rsidRDefault="00714536" w:rsidP="00096493">
      <w:pPr>
        <w:spacing w:after="0"/>
        <w:rPr>
          <w:shd w:val="clear" w:color="auto" w:fill="FFFFFF"/>
        </w:rPr>
      </w:pPr>
      <w:r w:rsidRPr="00714536">
        <w:rPr>
          <w:shd w:val="clear" w:color="auto" w:fill="FFFFFF"/>
        </w:rPr>
        <w:t>Walsh, A. (2012). </w:t>
      </w:r>
      <w:r w:rsidRPr="00714536">
        <w:rPr>
          <w:i/>
          <w:iCs/>
          <w:shd w:val="clear" w:color="auto" w:fill="FFFFFF"/>
        </w:rPr>
        <w:t>Made in Madagascar: Sapphires, ecotourism, and the global bazaar</w:t>
      </w:r>
      <w:r w:rsidRPr="00714536">
        <w:rPr>
          <w:shd w:val="clear" w:color="auto" w:fill="FFFFFF"/>
        </w:rPr>
        <w:t>. University of Toronto Press.</w:t>
      </w:r>
    </w:p>
    <w:p w14:paraId="4000A905" w14:textId="307AD0BE" w:rsidR="00096493" w:rsidRDefault="00096493" w:rsidP="00096493">
      <w:pPr>
        <w:pStyle w:val="ListParagraph"/>
        <w:numPr>
          <w:ilvl w:val="0"/>
          <w:numId w:val="40"/>
        </w:numPr>
        <w:rPr>
          <w:shd w:val="clear" w:color="auto" w:fill="FFFFFF"/>
        </w:rPr>
      </w:pPr>
      <w:r>
        <w:rPr>
          <w:shd w:val="clear" w:color="auto" w:fill="FFFFFF"/>
        </w:rPr>
        <w:t xml:space="preserve">Chapter 3: The Promise and Practice of Ecotourism in </w:t>
      </w:r>
      <w:proofErr w:type="spellStart"/>
      <w:r>
        <w:rPr>
          <w:shd w:val="clear" w:color="auto" w:fill="FFFFFF"/>
        </w:rPr>
        <w:t>Ankarana</w:t>
      </w:r>
      <w:proofErr w:type="spellEnd"/>
      <w:r>
        <w:rPr>
          <w:shd w:val="clear" w:color="auto" w:fill="FFFFFF"/>
        </w:rPr>
        <w:t xml:space="preserve"> (pp. 49-73)</w:t>
      </w:r>
    </w:p>
    <w:p w14:paraId="72A6CC3B" w14:textId="71EDCC84" w:rsidR="00096493" w:rsidRDefault="00096493" w:rsidP="00096493">
      <w:pPr>
        <w:pStyle w:val="ListParagraph"/>
        <w:numPr>
          <w:ilvl w:val="0"/>
          <w:numId w:val="40"/>
        </w:numPr>
        <w:rPr>
          <w:shd w:val="clear" w:color="auto" w:fill="FFFFFF"/>
        </w:rPr>
      </w:pPr>
      <w:r>
        <w:rPr>
          <w:shd w:val="clear" w:color="auto" w:fill="FFFFFF"/>
        </w:rPr>
        <w:t>Chapter 4: Natural Wonders in the Global Bazaar (pp. 74-99)</w:t>
      </w:r>
    </w:p>
    <w:p w14:paraId="4ACBEAD3" w14:textId="4125C3C1" w:rsidR="00096493" w:rsidRPr="00096493" w:rsidRDefault="00096493" w:rsidP="00096493">
      <w:pPr>
        <w:pStyle w:val="ListParagraph"/>
        <w:numPr>
          <w:ilvl w:val="0"/>
          <w:numId w:val="40"/>
        </w:numPr>
        <w:rPr>
          <w:shd w:val="clear" w:color="auto" w:fill="FFFFFF"/>
        </w:rPr>
      </w:pPr>
      <w:r>
        <w:rPr>
          <w:shd w:val="clear" w:color="auto" w:fill="FFFFFF"/>
        </w:rPr>
        <w:t>Conclusion: So What? (pp. 100-112)</w:t>
      </w:r>
    </w:p>
    <w:p w14:paraId="2E3EB526" w14:textId="70512DE6" w:rsidR="001E74FE" w:rsidRPr="001E74FE" w:rsidRDefault="00942945" w:rsidP="00A72A90">
      <w:pPr>
        <w:pStyle w:val="Heading3"/>
      </w:pPr>
      <w:bookmarkStart w:id="17" w:name="_Hlk60908827"/>
      <w:r>
        <w:t xml:space="preserve">Monday, February 28, 2022: NO CLASS (Spring Break) </w:t>
      </w:r>
    </w:p>
    <w:p w14:paraId="6FA17C40" w14:textId="32FF8671" w:rsidR="001E74FE" w:rsidRDefault="00942945" w:rsidP="005E60C2">
      <w:pPr>
        <w:pStyle w:val="Heading3"/>
      </w:pPr>
      <w:r>
        <w:t>Wednesday, March 2, 2022: NO CLASS (Spring Break)</w:t>
      </w:r>
    </w:p>
    <w:p w14:paraId="0FD55C12" w14:textId="0567C779" w:rsidR="004D653A" w:rsidRPr="004D653A" w:rsidRDefault="004D653A" w:rsidP="004D653A">
      <w:pPr>
        <w:pStyle w:val="Heading2"/>
        <w:jc w:val="center"/>
      </w:pPr>
      <w:r>
        <w:t>Part 3: Violence and Exploitation</w:t>
      </w:r>
    </w:p>
    <w:p w14:paraId="3EA4A4E2" w14:textId="16385BB1" w:rsidR="00DC3489" w:rsidRDefault="00CD6A77" w:rsidP="00932338">
      <w:pPr>
        <w:pStyle w:val="Heading3"/>
      </w:pPr>
      <w:r w:rsidRPr="00092030">
        <w:t xml:space="preserve">Monday, March </w:t>
      </w:r>
      <w:r w:rsidR="00942945">
        <w:t>7</w:t>
      </w:r>
      <w:r w:rsidRPr="00092030">
        <w:t>, 202</w:t>
      </w:r>
      <w:bookmarkEnd w:id="17"/>
      <w:r w:rsidR="00942945">
        <w:t>2</w:t>
      </w:r>
      <w:r w:rsidR="00932338">
        <w:t>:</w:t>
      </w:r>
      <w:r w:rsidR="00A525A5">
        <w:t xml:space="preserve"> </w:t>
      </w:r>
      <w:r w:rsidR="00D87FEB">
        <w:t xml:space="preserve">Ethnographies of </w:t>
      </w:r>
      <w:r w:rsidR="00C307BF">
        <w:t>Crime</w:t>
      </w:r>
      <w:r w:rsidR="00D87FEB">
        <w:t xml:space="preserve"> – Part I</w:t>
      </w:r>
      <w:bookmarkStart w:id="18" w:name="_Hlk60908843"/>
    </w:p>
    <w:p w14:paraId="312EC60A" w14:textId="2ECF941E" w:rsidR="00DC3489" w:rsidRDefault="00DC3489" w:rsidP="00DC3489">
      <w:pPr>
        <w:spacing w:after="0"/>
        <w:rPr>
          <w:shd w:val="clear" w:color="auto" w:fill="FFFFFF"/>
        </w:rPr>
      </w:pPr>
      <w:r>
        <w:rPr>
          <w:shd w:val="clear" w:color="auto" w:fill="FFFFFF"/>
        </w:rPr>
        <w:t>Nordstrom, C. (2007). </w:t>
      </w:r>
      <w:r>
        <w:rPr>
          <w:i/>
          <w:iCs/>
          <w:shd w:val="clear" w:color="auto" w:fill="FFFFFF"/>
        </w:rPr>
        <w:t>Global Outlaws</w:t>
      </w:r>
      <w:r>
        <w:rPr>
          <w:shd w:val="clear" w:color="auto" w:fill="FFFFFF"/>
        </w:rPr>
        <w:t>. University of California Press.</w:t>
      </w:r>
    </w:p>
    <w:p w14:paraId="16AF6A65" w14:textId="3329D468" w:rsidR="00DC3489" w:rsidRDefault="00DC3489" w:rsidP="00DC3489">
      <w:pPr>
        <w:pStyle w:val="ListParagraph"/>
        <w:numPr>
          <w:ilvl w:val="0"/>
          <w:numId w:val="41"/>
        </w:numPr>
      </w:pPr>
      <w:r>
        <w:t>Preface (pp. xv-xxi)</w:t>
      </w:r>
    </w:p>
    <w:p w14:paraId="66C66F7F" w14:textId="2C83E9AA" w:rsidR="00DC3489" w:rsidRDefault="00DC3489" w:rsidP="00DC3489">
      <w:pPr>
        <w:pStyle w:val="ListParagraph"/>
        <w:numPr>
          <w:ilvl w:val="0"/>
          <w:numId w:val="41"/>
        </w:numPr>
      </w:pPr>
      <w:r>
        <w:t>Chapter 1: The War Orphan (pp. 3-9)</w:t>
      </w:r>
    </w:p>
    <w:p w14:paraId="5BA7EACF" w14:textId="29192E0E" w:rsidR="00DC3489" w:rsidRDefault="00DC3489" w:rsidP="00DC3489">
      <w:pPr>
        <w:pStyle w:val="ListParagraph"/>
        <w:numPr>
          <w:ilvl w:val="0"/>
          <w:numId w:val="41"/>
        </w:numPr>
      </w:pPr>
      <w:r>
        <w:t>Chapter 2: The Bombed-Out Shop (pp. 11-17)</w:t>
      </w:r>
    </w:p>
    <w:p w14:paraId="4608A7CD" w14:textId="7E140A0D" w:rsidR="00DC3489" w:rsidRDefault="00DC3489" w:rsidP="00DC3489">
      <w:pPr>
        <w:pStyle w:val="ListParagraph"/>
        <w:numPr>
          <w:ilvl w:val="0"/>
          <w:numId w:val="41"/>
        </w:numPr>
      </w:pPr>
      <w:r>
        <w:t>Chapter 3: Coconuts and Cigarettes (pp. 19-24)</w:t>
      </w:r>
    </w:p>
    <w:p w14:paraId="61D2923A" w14:textId="1E082680" w:rsidR="00DC3489" w:rsidRDefault="00DC3489" w:rsidP="00DC3489">
      <w:pPr>
        <w:pStyle w:val="ListParagraph"/>
        <w:numPr>
          <w:ilvl w:val="0"/>
          <w:numId w:val="41"/>
        </w:numPr>
      </w:pPr>
      <w:r>
        <w:t xml:space="preserve">Chapter 4: The </w:t>
      </w:r>
      <w:proofErr w:type="spellStart"/>
      <w:r>
        <w:t>Gov’nor’s</w:t>
      </w:r>
      <w:proofErr w:type="spellEnd"/>
      <w:r>
        <w:t xml:space="preserve"> Red Tractors (pp. 27-35)</w:t>
      </w:r>
    </w:p>
    <w:p w14:paraId="39B9CB8D" w14:textId="040947F0" w:rsidR="00DC3489" w:rsidRDefault="00DC3489" w:rsidP="00DC3489">
      <w:pPr>
        <w:pStyle w:val="ListParagraph"/>
        <w:numPr>
          <w:ilvl w:val="0"/>
          <w:numId w:val="41"/>
        </w:numPr>
      </w:pPr>
      <w:r>
        <w:t>Chapter 5: Military Takeovers (or, How to Own a Country) (pp. 37-44)</w:t>
      </w:r>
    </w:p>
    <w:p w14:paraId="7319791B" w14:textId="52B2EDF0" w:rsidR="00DC3489" w:rsidRDefault="00DC3489" w:rsidP="00DC3489">
      <w:pPr>
        <w:pStyle w:val="ListParagraph"/>
        <w:numPr>
          <w:ilvl w:val="0"/>
          <w:numId w:val="41"/>
        </w:numPr>
      </w:pPr>
      <w:r>
        <w:t>Chapter 6: The Untold Story of the Amputees (pp. 47-55)</w:t>
      </w:r>
    </w:p>
    <w:p w14:paraId="355EE682" w14:textId="0FFF53D6" w:rsidR="00DC3489" w:rsidRDefault="00DC3489" w:rsidP="00DC3489">
      <w:pPr>
        <w:pStyle w:val="ListParagraph"/>
        <w:numPr>
          <w:ilvl w:val="0"/>
          <w:numId w:val="41"/>
        </w:numPr>
      </w:pPr>
      <w:r>
        <w:t>Chapter 7: Robber Barons (pp. 57-</w:t>
      </w:r>
      <w:r w:rsidR="008D02D6">
        <w:t>67)</w:t>
      </w:r>
    </w:p>
    <w:p w14:paraId="513FEF24" w14:textId="38F49A2D" w:rsidR="00C307BF" w:rsidRPr="00C307BF" w:rsidRDefault="00C307BF" w:rsidP="00C307BF">
      <w:pPr>
        <w:pStyle w:val="ListParagraph"/>
        <w:numPr>
          <w:ilvl w:val="0"/>
          <w:numId w:val="41"/>
        </w:numPr>
        <w:rPr>
          <w:shd w:val="clear" w:color="auto" w:fill="FFFFFF"/>
        </w:rPr>
      </w:pPr>
      <w:r w:rsidRPr="008D02D6">
        <w:rPr>
          <w:shd w:val="clear" w:color="auto" w:fill="FFFFFF"/>
        </w:rPr>
        <w:t>Chapter</w:t>
      </w:r>
      <w:r>
        <w:rPr>
          <w:shd w:val="clear" w:color="auto" w:fill="FFFFFF"/>
        </w:rPr>
        <w:t xml:space="preserve"> 8: The Border Post—A Billion-Dollar Truck Stop (pp. 71-81)</w:t>
      </w:r>
    </w:p>
    <w:p w14:paraId="39E196E2" w14:textId="7302566E" w:rsidR="00CB02D0" w:rsidRDefault="00CD6A77" w:rsidP="00932338">
      <w:pPr>
        <w:pStyle w:val="Heading3"/>
      </w:pPr>
      <w:r>
        <w:t xml:space="preserve">Wednesday, March </w:t>
      </w:r>
      <w:r w:rsidR="00942945">
        <w:t>9</w:t>
      </w:r>
      <w:r>
        <w:t>, 202</w:t>
      </w:r>
      <w:bookmarkEnd w:id="18"/>
      <w:r w:rsidR="00BD2640">
        <w:t>2</w:t>
      </w:r>
      <w:r>
        <w:t>:</w:t>
      </w:r>
      <w:r w:rsidR="00A525A5">
        <w:t xml:space="preserve"> </w:t>
      </w:r>
      <w:r w:rsidR="00D87FEB">
        <w:t xml:space="preserve">Ethnographies of </w:t>
      </w:r>
      <w:r w:rsidR="00C307BF">
        <w:t>Crime</w:t>
      </w:r>
      <w:r w:rsidR="00D87FEB">
        <w:t xml:space="preserve"> – Part II</w:t>
      </w:r>
    </w:p>
    <w:p w14:paraId="6A704BAA" w14:textId="6FE7FA4A" w:rsidR="00DC3489" w:rsidRDefault="00DC3489" w:rsidP="00DC3489">
      <w:pPr>
        <w:spacing w:after="0"/>
        <w:rPr>
          <w:shd w:val="clear" w:color="auto" w:fill="FFFFFF"/>
        </w:rPr>
      </w:pPr>
      <w:bookmarkStart w:id="19" w:name="_Hlk60908861"/>
      <w:r>
        <w:rPr>
          <w:shd w:val="clear" w:color="auto" w:fill="FFFFFF"/>
        </w:rPr>
        <w:t>Nordstrom, C. (2007). </w:t>
      </w:r>
      <w:r>
        <w:rPr>
          <w:i/>
          <w:iCs/>
          <w:shd w:val="clear" w:color="auto" w:fill="FFFFFF"/>
        </w:rPr>
        <w:t>Global Outlaws</w:t>
      </w:r>
      <w:r>
        <w:rPr>
          <w:shd w:val="clear" w:color="auto" w:fill="FFFFFF"/>
        </w:rPr>
        <w:t>. University of California Press.</w:t>
      </w:r>
    </w:p>
    <w:p w14:paraId="76040CA7" w14:textId="1A3C8258" w:rsidR="008D02D6" w:rsidRDefault="008D02D6" w:rsidP="008D02D6">
      <w:pPr>
        <w:pStyle w:val="ListParagraph"/>
        <w:numPr>
          <w:ilvl w:val="0"/>
          <w:numId w:val="43"/>
        </w:numPr>
        <w:rPr>
          <w:shd w:val="clear" w:color="auto" w:fill="FFFFFF"/>
        </w:rPr>
      </w:pPr>
      <w:r>
        <w:rPr>
          <w:shd w:val="clear" w:color="auto" w:fill="FFFFFF"/>
        </w:rPr>
        <w:t>Chapter 9: Romancing the Stone—Borders and Businesspeople (pp. 83-91)</w:t>
      </w:r>
    </w:p>
    <w:p w14:paraId="1E612B3C" w14:textId="2C83C136" w:rsidR="008D02D6" w:rsidRDefault="008D02D6" w:rsidP="008D02D6">
      <w:pPr>
        <w:pStyle w:val="ListParagraph"/>
        <w:numPr>
          <w:ilvl w:val="0"/>
          <w:numId w:val="43"/>
        </w:numPr>
        <w:rPr>
          <w:shd w:val="clear" w:color="auto" w:fill="FFFFFF"/>
        </w:rPr>
      </w:pPr>
      <w:r>
        <w:rPr>
          <w:shd w:val="clear" w:color="auto" w:fill="FFFFFF"/>
        </w:rPr>
        <w:t>Chapter 10: The Washing Machine (Laundering, Part One) (pp. 93-101)</w:t>
      </w:r>
    </w:p>
    <w:p w14:paraId="55980324" w14:textId="1219EDA1" w:rsidR="008D02D6" w:rsidRDefault="008D02D6" w:rsidP="008D02D6">
      <w:pPr>
        <w:pStyle w:val="ListParagraph"/>
        <w:numPr>
          <w:ilvl w:val="0"/>
          <w:numId w:val="43"/>
        </w:numPr>
        <w:rPr>
          <w:shd w:val="clear" w:color="auto" w:fill="FFFFFF"/>
        </w:rPr>
      </w:pPr>
      <w:r>
        <w:rPr>
          <w:shd w:val="clear" w:color="auto" w:fill="FFFFFF"/>
        </w:rPr>
        <w:t>Chapter 11: Diamonds and Fish—Going Global (pp. 105-113)</w:t>
      </w:r>
    </w:p>
    <w:p w14:paraId="07BE03D2" w14:textId="443EC3B6" w:rsidR="008D02D6" w:rsidRDefault="008D02D6" w:rsidP="008D02D6">
      <w:pPr>
        <w:pStyle w:val="ListParagraph"/>
        <w:numPr>
          <w:ilvl w:val="0"/>
          <w:numId w:val="43"/>
        </w:numPr>
        <w:rPr>
          <w:shd w:val="clear" w:color="auto" w:fill="FFFFFF"/>
        </w:rPr>
      </w:pPr>
      <w:r>
        <w:rPr>
          <w:shd w:val="clear" w:color="auto" w:fill="FFFFFF"/>
        </w:rPr>
        <w:t>Chapter 12: Ports (pp. 115-127)</w:t>
      </w:r>
    </w:p>
    <w:p w14:paraId="36E6E533" w14:textId="5D2F8BF5" w:rsidR="008D02D6" w:rsidRDefault="008D02D6" w:rsidP="008D02D6">
      <w:pPr>
        <w:pStyle w:val="ListParagraph"/>
        <w:numPr>
          <w:ilvl w:val="0"/>
          <w:numId w:val="43"/>
        </w:numPr>
        <w:rPr>
          <w:shd w:val="clear" w:color="auto" w:fill="FFFFFF"/>
        </w:rPr>
      </w:pPr>
      <w:r>
        <w:rPr>
          <w:shd w:val="clear" w:color="auto" w:fill="FFFFFF"/>
        </w:rPr>
        <w:t>Chapter 14: The Cultures of Criminals (pp. 139-146)</w:t>
      </w:r>
    </w:p>
    <w:p w14:paraId="04190E93" w14:textId="78F587CC" w:rsidR="008D02D6" w:rsidRDefault="008D02D6" w:rsidP="008D02D6">
      <w:pPr>
        <w:pStyle w:val="ListParagraph"/>
        <w:numPr>
          <w:ilvl w:val="0"/>
          <w:numId w:val="43"/>
        </w:numPr>
        <w:rPr>
          <w:shd w:val="clear" w:color="auto" w:fill="FFFFFF"/>
        </w:rPr>
      </w:pPr>
      <w:r>
        <w:rPr>
          <w:shd w:val="clear" w:color="auto" w:fill="FFFFFF"/>
        </w:rPr>
        <w:t>Chapter 16: The World-Port (pp. 157-165)</w:t>
      </w:r>
    </w:p>
    <w:p w14:paraId="7E679A29" w14:textId="69EAABA1" w:rsidR="008D02D6" w:rsidRDefault="008D02D6" w:rsidP="008D02D6">
      <w:pPr>
        <w:pStyle w:val="ListParagraph"/>
        <w:numPr>
          <w:ilvl w:val="0"/>
          <w:numId w:val="43"/>
        </w:numPr>
        <w:rPr>
          <w:shd w:val="clear" w:color="auto" w:fill="FFFFFF"/>
        </w:rPr>
      </w:pPr>
      <w:r>
        <w:rPr>
          <w:shd w:val="clear" w:color="auto" w:fill="FFFFFF"/>
        </w:rPr>
        <w:t>Chapter 17: The Investment Machine (Laundering, Part Two) (pp. 167-179)</w:t>
      </w:r>
    </w:p>
    <w:p w14:paraId="111F3713" w14:textId="7ED6F376" w:rsidR="00F61211" w:rsidRDefault="00C307BF" w:rsidP="00932338">
      <w:pPr>
        <w:pStyle w:val="ListParagraph"/>
        <w:numPr>
          <w:ilvl w:val="0"/>
          <w:numId w:val="43"/>
        </w:numPr>
        <w:rPr>
          <w:shd w:val="clear" w:color="auto" w:fill="FFFFFF"/>
        </w:rPr>
      </w:pPr>
      <w:r>
        <w:rPr>
          <w:shd w:val="clear" w:color="auto" w:fill="FFFFFF"/>
        </w:rPr>
        <w:t>Chapter 20: Conclusion (pp. 205-208)</w:t>
      </w:r>
    </w:p>
    <w:p w14:paraId="1746FFAA" w14:textId="1BD006C2" w:rsidR="00877C0F" w:rsidRDefault="00877C0F" w:rsidP="00877C0F">
      <w:pPr>
        <w:rPr>
          <w:shd w:val="clear" w:color="auto" w:fill="FFFFFF"/>
        </w:rPr>
      </w:pPr>
    </w:p>
    <w:p w14:paraId="16A00111" w14:textId="77777777" w:rsidR="00877C0F" w:rsidRPr="00877C0F" w:rsidRDefault="00877C0F" w:rsidP="00877C0F">
      <w:pPr>
        <w:rPr>
          <w:shd w:val="clear" w:color="auto" w:fill="FFFFFF"/>
        </w:rPr>
      </w:pPr>
    </w:p>
    <w:p w14:paraId="3D828C6B" w14:textId="75909456" w:rsidR="00E32576" w:rsidRDefault="00CD6A77" w:rsidP="00932338">
      <w:pPr>
        <w:pStyle w:val="Heading3"/>
      </w:pPr>
      <w:r>
        <w:lastRenderedPageBreak/>
        <w:t xml:space="preserve">Monday, March </w:t>
      </w:r>
      <w:r w:rsidR="00BD2640">
        <w:t>14</w:t>
      </w:r>
      <w:r>
        <w:t>, 202</w:t>
      </w:r>
      <w:bookmarkEnd w:id="19"/>
      <w:r w:rsidR="00BD2640">
        <w:t>2</w:t>
      </w:r>
      <w:r w:rsidR="00932338">
        <w:t>:</w:t>
      </w:r>
      <w:r w:rsidR="00A525A5">
        <w:t xml:space="preserve"> </w:t>
      </w:r>
      <w:r w:rsidR="00D87FEB">
        <w:t xml:space="preserve">Ethnographies of </w:t>
      </w:r>
      <w:r w:rsidR="00C307BF">
        <w:t>Violence</w:t>
      </w:r>
      <w:r w:rsidR="00D87FEB">
        <w:t xml:space="preserve"> – Part I</w:t>
      </w:r>
    </w:p>
    <w:p w14:paraId="437A4927" w14:textId="674BBB71" w:rsidR="00714536" w:rsidRDefault="00714536" w:rsidP="00F61211">
      <w:pPr>
        <w:spacing w:after="0"/>
        <w:rPr>
          <w:shd w:val="clear" w:color="auto" w:fill="FFFFFF"/>
        </w:rPr>
      </w:pPr>
      <w:proofErr w:type="spellStart"/>
      <w:r w:rsidRPr="00714536">
        <w:rPr>
          <w:shd w:val="clear" w:color="auto" w:fill="FFFFFF"/>
        </w:rPr>
        <w:t>Adunbi</w:t>
      </w:r>
      <w:proofErr w:type="spellEnd"/>
      <w:r w:rsidRPr="00714536">
        <w:rPr>
          <w:shd w:val="clear" w:color="auto" w:fill="FFFFFF"/>
        </w:rPr>
        <w:t>, O. (2015). </w:t>
      </w:r>
      <w:r w:rsidRPr="00714536">
        <w:rPr>
          <w:i/>
          <w:iCs/>
          <w:shd w:val="clear" w:color="auto" w:fill="FFFFFF"/>
        </w:rPr>
        <w:t>Oil wealth and insurgency in Nigeria</w:t>
      </w:r>
      <w:r w:rsidRPr="00714536">
        <w:rPr>
          <w:shd w:val="clear" w:color="auto" w:fill="FFFFFF"/>
        </w:rPr>
        <w:t>. Indiana University Press.</w:t>
      </w:r>
      <w:r w:rsidR="00E777AB">
        <w:rPr>
          <w:shd w:val="clear" w:color="auto" w:fill="FFFFFF"/>
        </w:rPr>
        <w:t xml:space="preserve"> </w:t>
      </w:r>
    </w:p>
    <w:p w14:paraId="71B04991" w14:textId="49B537E6" w:rsidR="00F61211" w:rsidRDefault="00F61211" w:rsidP="00F61211">
      <w:pPr>
        <w:pStyle w:val="ListParagraph"/>
        <w:numPr>
          <w:ilvl w:val="0"/>
          <w:numId w:val="44"/>
        </w:numPr>
        <w:rPr>
          <w:shd w:val="clear" w:color="auto" w:fill="FFFFFF"/>
        </w:rPr>
      </w:pPr>
      <w:r>
        <w:rPr>
          <w:shd w:val="clear" w:color="auto" w:fill="FFFFFF"/>
        </w:rPr>
        <w:t>Introduction</w:t>
      </w:r>
      <w:r w:rsidR="00877C0F">
        <w:rPr>
          <w:shd w:val="clear" w:color="auto" w:fill="FFFFFF"/>
        </w:rPr>
        <w:t xml:space="preserve"> – </w:t>
      </w:r>
      <w:r>
        <w:rPr>
          <w:shd w:val="clear" w:color="auto" w:fill="FFFFFF"/>
        </w:rPr>
        <w:t>Environment, Transnational Networks, and Resource Extraction (pp. 1-25)</w:t>
      </w:r>
    </w:p>
    <w:p w14:paraId="1AF78658" w14:textId="077A8BF6" w:rsidR="00F61211" w:rsidRPr="00F61211" w:rsidRDefault="00F61211" w:rsidP="00F61211">
      <w:pPr>
        <w:pStyle w:val="ListParagraph"/>
        <w:numPr>
          <w:ilvl w:val="0"/>
          <w:numId w:val="44"/>
        </w:numPr>
        <w:rPr>
          <w:shd w:val="clear" w:color="auto" w:fill="FFFFFF"/>
        </w:rPr>
      </w:pPr>
      <w:r>
        <w:rPr>
          <w:shd w:val="clear" w:color="auto" w:fill="FFFFFF"/>
        </w:rPr>
        <w:t>Chapter</w:t>
      </w:r>
      <w:r w:rsidR="00877C0F">
        <w:rPr>
          <w:shd w:val="clear" w:color="auto" w:fill="FFFFFF"/>
        </w:rPr>
        <w:t xml:space="preserve"> 3 – Mythic Oil: Corporations, Resistance, and the Politics of Claim-Making (pp. 94-124)</w:t>
      </w:r>
    </w:p>
    <w:p w14:paraId="30167792" w14:textId="21D57906" w:rsidR="00C274F4" w:rsidRDefault="00CD6A77" w:rsidP="00932338">
      <w:pPr>
        <w:pStyle w:val="Heading3"/>
      </w:pPr>
      <w:bookmarkStart w:id="20" w:name="_Hlk60908875"/>
      <w:r>
        <w:t>Wednesday, March 1</w:t>
      </w:r>
      <w:r w:rsidR="00BD2640">
        <w:t>6</w:t>
      </w:r>
      <w:r>
        <w:t>, 202</w:t>
      </w:r>
      <w:bookmarkEnd w:id="20"/>
      <w:r w:rsidR="00BD2640">
        <w:t>2</w:t>
      </w:r>
      <w:r>
        <w:t>:</w:t>
      </w:r>
      <w:r w:rsidR="00D87FEB">
        <w:t xml:space="preserve"> Ethnographies of </w:t>
      </w:r>
      <w:r w:rsidR="00C307BF">
        <w:t>Violence</w:t>
      </w:r>
      <w:r w:rsidR="00D87FEB">
        <w:t xml:space="preserve"> – Part II</w:t>
      </w:r>
    </w:p>
    <w:p w14:paraId="78440E8D" w14:textId="48D47B8E" w:rsidR="00714536" w:rsidRDefault="00714536" w:rsidP="00F61211">
      <w:pPr>
        <w:spacing w:after="0"/>
        <w:rPr>
          <w:shd w:val="clear" w:color="auto" w:fill="FFFFFF"/>
        </w:rPr>
      </w:pPr>
      <w:proofErr w:type="spellStart"/>
      <w:r w:rsidRPr="00714536">
        <w:rPr>
          <w:shd w:val="clear" w:color="auto" w:fill="FFFFFF"/>
        </w:rPr>
        <w:t>Adunbi</w:t>
      </w:r>
      <w:proofErr w:type="spellEnd"/>
      <w:r w:rsidRPr="00714536">
        <w:rPr>
          <w:shd w:val="clear" w:color="auto" w:fill="FFFFFF"/>
        </w:rPr>
        <w:t>, O. (2015). </w:t>
      </w:r>
      <w:r w:rsidRPr="00714536">
        <w:rPr>
          <w:i/>
          <w:iCs/>
          <w:shd w:val="clear" w:color="auto" w:fill="FFFFFF"/>
        </w:rPr>
        <w:t>Oil wealth and insurgency in Nigeria</w:t>
      </w:r>
      <w:r w:rsidRPr="00714536">
        <w:rPr>
          <w:shd w:val="clear" w:color="auto" w:fill="FFFFFF"/>
        </w:rPr>
        <w:t>. Indiana University Press.</w:t>
      </w:r>
      <w:r w:rsidR="00E777AB">
        <w:rPr>
          <w:shd w:val="clear" w:color="auto" w:fill="FFFFFF"/>
        </w:rPr>
        <w:t xml:space="preserve"> </w:t>
      </w:r>
    </w:p>
    <w:p w14:paraId="2530DA67" w14:textId="717E5630" w:rsidR="00F61211" w:rsidRDefault="00F61211" w:rsidP="00F61211">
      <w:pPr>
        <w:pStyle w:val="ListParagraph"/>
        <w:numPr>
          <w:ilvl w:val="0"/>
          <w:numId w:val="44"/>
        </w:numPr>
        <w:spacing w:after="0"/>
        <w:rPr>
          <w:shd w:val="clear" w:color="auto" w:fill="FFFFFF"/>
        </w:rPr>
      </w:pPr>
      <w:r>
        <w:rPr>
          <w:shd w:val="clear" w:color="auto" w:fill="FFFFFF"/>
        </w:rPr>
        <w:t>Chapter 4:</w:t>
      </w:r>
      <w:r w:rsidR="00877C0F">
        <w:rPr>
          <w:shd w:val="clear" w:color="auto" w:fill="FFFFFF"/>
        </w:rPr>
        <w:t xml:space="preserve"> Contesting Landscapes of Wealth: Oil Platforms of Possibilities and Pipelines of Conflict (pp. 124-158)</w:t>
      </w:r>
    </w:p>
    <w:p w14:paraId="62751AB6" w14:textId="6ACD9D89" w:rsidR="00F61211" w:rsidRDefault="00F61211" w:rsidP="00F61211">
      <w:pPr>
        <w:pStyle w:val="ListParagraph"/>
        <w:numPr>
          <w:ilvl w:val="0"/>
          <w:numId w:val="44"/>
        </w:numPr>
        <w:spacing w:after="0"/>
        <w:rPr>
          <w:shd w:val="clear" w:color="auto" w:fill="FFFFFF"/>
        </w:rPr>
      </w:pPr>
      <w:r>
        <w:rPr>
          <w:shd w:val="clear" w:color="auto" w:fill="FFFFFF"/>
        </w:rPr>
        <w:t>Chapter 6</w:t>
      </w:r>
      <w:r w:rsidR="00877C0F">
        <w:rPr>
          <w:shd w:val="clear" w:color="auto" w:fill="FFFFFF"/>
        </w:rPr>
        <w:t>: Oil Wealth of Violence: The Social and Spatial Construction of Militancy (pp. 181-215)</w:t>
      </w:r>
    </w:p>
    <w:p w14:paraId="6D217971" w14:textId="2C83CDDC" w:rsidR="006B6A4D" w:rsidRPr="00F61211" w:rsidRDefault="006B6A4D" w:rsidP="00F61211">
      <w:pPr>
        <w:pStyle w:val="ListParagraph"/>
        <w:numPr>
          <w:ilvl w:val="0"/>
          <w:numId w:val="44"/>
        </w:numPr>
        <w:spacing w:after="0"/>
        <w:rPr>
          <w:shd w:val="clear" w:color="auto" w:fill="FFFFFF"/>
        </w:rPr>
      </w:pPr>
      <w:r>
        <w:rPr>
          <w:shd w:val="clear" w:color="auto" w:fill="FFFFFF"/>
        </w:rPr>
        <w:t>Conclusion: Beyond the Struggle for Oil Resources (pp. 235-246)</w:t>
      </w:r>
    </w:p>
    <w:p w14:paraId="287AB5AC" w14:textId="551E3B22" w:rsidR="00CD6A77" w:rsidRDefault="00CD6A77" w:rsidP="00CD6A77">
      <w:pPr>
        <w:pStyle w:val="Heading3"/>
      </w:pPr>
      <w:bookmarkStart w:id="21" w:name="_Hlk60908888"/>
      <w:r w:rsidRPr="00DA095E">
        <w:t xml:space="preserve">Monday, </w:t>
      </w:r>
      <w:r>
        <w:t xml:space="preserve">March </w:t>
      </w:r>
      <w:r w:rsidR="00BD2640">
        <w:t>21</w:t>
      </w:r>
      <w:r>
        <w:t>, 202</w:t>
      </w:r>
      <w:bookmarkEnd w:id="21"/>
      <w:r w:rsidR="00BD2640">
        <w:t>2</w:t>
      </w:r>
      <w:r>
        <w:t xml:space="preserve">: </w:t>
      </w:r>
      <w:r w:rsidR="00D87FEB">
        <w:t xml:space="preserve">Ethnographies of </w:t>
      </w:r>
      <w:r w:rsidR="006B6A4D">
        <w:t>Agrarian Transformations</w:t>
      </w:r>
      <w:r w:rsidR="00D87FEB">
        <w:t xml:space="preserve"> – Part I</w:t>
      </w:r>
    </w:p>
    <w:p w14:paraId="66CBC88B" w14:textId="6CDFC802" w:rsidR="00C307BF" w:rsidRDefault="00C307BF" w:rsidP="00C307BF">
      <w:pPr>
        <w:spacing w:after="0"/>
      </w:pPr>
      <w:bookmarkStart w:id="22" w:name="_Hlk60908901"/>
      <w:r w:rsidRPr="00C307BF">
        <w:t xml:space="preserve">Li, T. M. (2014). </w:t>
      </w:r>
      <w:r w:rsidRPr="00C307BF">
        <w:rPr>
          <w:i/>
          <w:iCs/>
        </w:rPr>
        <w:t>Land's End</w:t>
      </w:r>
      <w:r>
        <w:t xml:space="preserve">: </w:t>
      </w:r>
      <w:r>
        <w:rPr>
          <w:i/>
          <w:iCs/>
        </w:rPr>
        <w:t>Capitalist Relations on an Indigenous Frontier</w:t>
      </w:r>
      <w:r w:rsidRPr="00C307BF">
        <w:t>. Duke University Press.</w:t>
      </w:r>
    </w:p>
    <w:p w14:paraId="6008F5D4" w14:textId="4DBCCFC2" w:rsidR="003F14C3" w:rsidRDefault="003F14C3" w:rsidP="003F14C3">
      <w:pPr>
        <w:pStyle w:val="ListParagraph"/>
        <w:numPr>
          <w:ilvl w:val="0"/>
          <w:numId w:val="45"/>
        </w:numPr>
        <w:spacing w:after="0"/>
      </w:pPr>
      <w:r>
        <w:t>Introduction (pp. 1-29)</w:t>
      </w:r>
    </w:p>
    <w:p w14:paraId="1BADC245" w14:textId="44846DDA" w:rsidR="003F14C3" w:rsidRDefault="003F14C3" w:rsidP="003F14C3">
      <w:pPr>
        <w:pStyle w:val="ListParagraph"/>
        <w:numPr>
          <w:ilvl w:val="0"/>
          <w:numId w:val="45"/>
        </w:numPr>
        <w:spacing w:after="0"/>
      </w:pPr>
      <w:r>
        <w:t>Chapter 3: Enclosure (pp. 84-114)</w:t>
      </w:r>
    </w:p>
    <w:p w14:paraId="43FEF29C" w14:textId="1D29E1F1" w:rsidR="00386AA6" w:rsidRDefault="00CD6A77" w:rsidP="0070695C">
      <w:pPr>
        <w:pStyle w:val="Heading3"/>
      </w:pPr>
      <w:r w:rsidRPr="00480D46">
        <w:t xml:space="preserve">Wednesday, </w:t>
      </w:r>
      <w:r>
        <w:t xml:space="preserve">March </w:t>
      </w:r>
      <w:r w:rsidR="00BD2640">
        <w:t>23</w:t>
      </w:r>
      <w:r>
        <w:t>, 202</w:t>
      </w:r>
      <w:bookmarkEnd w:id="22"/>
      <w:r w:rsidR="00BD2640">
        <w:t>2</w:t>
      </w:r>
      <w:r>
        <w:t>:</w:t>
      </w:r>
      <w:r w:rsidR="00A525A5">
        <w:t xml:space="preserve"> </w:t>
      </w:r>
      <w:bookmarkStart w:id="23" w:name="_Hlk60908916"/>
      <w:r w:rsidR="00D87FEB">
        <w:t xml:space="preserve">Ethnographies of </w:t>
      </w:r>
      <w:r w:rsidR="006B6A4D">
        <w:t>Agrarian Transformations</w:t>
      </w:r>
      <w:r w:rsidR="00D87FEB">
        <w:t xml:space="preserve"> – Part II</w:t>
      </w:r>
    </w:p>
    <w:p w14:paraId="5BF0B7F1" w14:textId="277729CD" w:rsidR="00C307BF" w:rsidRDefault="00C307BF" w:rsidP="00C307BF">
      <w:pPr>
        <w:spacing w:after="0"/>
      </w:pPr>
      <w:r w:rsidRPr="00C307BF">
        <w:t xml:space="preserve">Li, T. M. (2014). </w:t>
      </w:r>
      <w:r w:rsidRPr="00C307BF">
        <w:rPr>
          <w:i/>
          <w:iCs/>
        </w:rPr>
        <w:t>Land's End</w:t>
      </w:r>
      <w:r>
        <w:t xml:space="preserve">: </w:t>
      </w:r>
      <w:r>
        <w:rPr>
          <w:i/>
          <w:iCs/>
        </w:rPr>
        <w:t>Capitalist Relations on an Indigenous Frontier</w:t>
      </w:r>
      <w:r w:rsidRPr="00C307BF">
        <w:t>. Duke University Press.</w:t>
      </w:r>
    </w:p>
    <w:p w14:paraId="218B5CA4" w14:textId="6B911265" w:rsidR="003F14C3" w:rsidRDefault="003F14C3" w:rsidP="003F14C3">
      <w:pPr>
        <w:pStyle w:val="ListParagraph"/>
        <w:numPr>
          <w:ilvl w:val="0"/>
          <w:numId w:val="46"/>
        </w:numPr>
        <w:spacing w:after="0"/>
      </w:pPr>
      <w:r>
        <w:t>Chapter 4: Capitalist Relations (pp. 115-149)</w:t>
      </w:r>
    </w:p>
    <w:p w14:paraId="377B8EB3" w14:textId="6D36BB6D" w:rsidR="003F14C3" w:rsidRDefault="003F14C3" w:rsidP="003F14C3">
      <w:pPr>
        <w:pStyle w:val="ListParagraph"/>
        <w:numPr>
          <w:ilvl w:val="0"/>
          <w:numId w:val="46"/>
        </w:numPr>
        <w:spacing w:after="0"/>
      </w:pPr>
      <w:r>
        <w:t>Conclusion (pp. 178-185)</w:t>
      </w:r>
    </w:p>
    <w:p w14:paraId="235AE771" w14:textId="32D97881" w:rsidR="00F83224" w:rsidRDefault="00CD6A77" w:rsidP="00932338">
      <w:pPr>
        <w:pStyle w:val="Heading3"/>
      </w:pPr>
      <w:r>
        <w:t>Monday, March 2</w:t>
      </w:r>
      <w:r w:rsidR="00BD2640">
        <w:t>8</w:t>
      </w:r>
      <w:r>
        <w:t>, 202</w:t>
      </w:r>
      <w:bookmarkEnd w:id="23"/>
      <w:r w:rsidR="00BD2640">
        <w:t>2</w:t>
      </w:r>
      <w:r>
        <w:t xml:space="preserve">: </w:t>
      </w:r>
      <w:r w:rsidR="00D87FEB">
        <w:t>Ethnographies of the Plantation – Part I</w:t>
      </w:r>
    </w:p>
    <w:p w14:paraId="6768AAD8" w14:textId="30DCBA6A" w:rsidR="009813DD" w:rsidRDefault="009813DD" w:rsidP="00E43AD3">
      <w:pPr>
        <w:spacing w:after="0"/>
        <w:rPr>
          <w:shd w:val="clear" w:color="auto" w:fill="FFFFFF"/>
        </w:rPr>
      </w:pPr>
      <w:proofErr w:type="spellStart"/>
      <w:r w:rsidRPr="009813DD">
        <w:rPr>
          <w:shd w:val="clear" w:color="auto" w:fill="FFFFFF"/>
        </w:rPr>
        <w:t>Besky</w:t>
      </w:r>
      <w:proofErr w:type="spellEnd"/>
      <w:r w:rsidRPr="009813DD">
        <w:rPr>
          <w:shd w:val="clear" w:color="auto" w:fill="FFFFFF"/>
        </w:rPr>
        <w:t>, S. (2013). </w:t>
      </w:r>
      <w:r w:rsidRPr="009813DD">
        <w:rPr>
          <w:i/>
          <w:iCs/>
          <w:shd w:val="clear" w:color="auto" w:fill="FFFFFF"/>
        </w:rPr>
        <w:t>The Darjeeling Distinction</w:t>
      </w:r>
      <w:r w:rsidRPr="009813DD">
        <w:rPr>
          <w:shd w:val="clear" w:color="auto" w:fill="FFFFFF"/>
        </w:rPr>
        <w:t>. University of California Press.</w:t>
      </w:r>
      <w:r w:rsidR="00E777AB">
        <w:rPr>
          <w:shd w:val="clear" w:color="auto" w:fill="FFFFFF"/>
        </w:rPr>
        <w:t xml:space="preserve"> </w:t>
      </w:r>
    </w:p>
    <w:p w14:paraId="1EE83CF7" w14:textId="4F0FD9A1" w:rsidR="00E43AD3" w:rsidRDefault="00E43AD3" w:rsidP="00E43AD3">
      <w:pPr>
        <w:pStyle w:val="ListParagraph"/>
        <w:numPr>
          <w:ilvl w:val="0"/>
          <w:numId w:val="47"/>
        </w:numPr>
        <w:rPr>
          <w:shd w:val="clear" w:color="auto" w:fill="FFFFFF"/>
        </w:rPr>
      </w:pPr>
      <w:r>
        <w:rPr>
          <w:shd w:val="clear" w:color="auto" w:fill="FFFFFF"/>
        </w:rPr>
        <w:t>Introduction (pp. 1-37)</w:t>
      </w:r>
    </w:p>
    <w:p w14:paraId="79DD10DC" w14:textId="7D2ED4E7" w:rsidR="00E43AD3" w:rsidRPr="00E43AD3" w:rsidRDefault="00E43AD3" w:rsidP="00602526">
      <w:pPr>
        <w:pStyle w:val="ListParagraph"/>
        <w:numPr>
          <w:ilvl w:val="0"/>
          <w:numId w:val="47"/>
        </w:numPr>
        <w:rPr>
          <w:shd w:val="clear" w:color="auto" w:fill="FFFFFF"/>
        </w:rPr>
      </w:pPr>
      <w:r w:rsidRPr="00E43AD3">
        <w:rPr>
          <w:shd w:val="clear" w:color="auto" w:fill="FFFFFF"/>
        </w:rPr>
        <w:t>Chapter 2: Plantation</w:t>
      </w:r>
      <w:r>
        <w:rPr>
          <w:shd w:val="clear" w:color="auto" w:fill="FFFFFF"/>
        </w:rPr>
        <w:t xml:space="preserve"> (pp. 59-87)</w:t>
      </w:r>
    </w:p>
    <w:p w14:paraId="32D825EC" w14:textId="1E1656D9" w:rsidR="00991751" w:rsidRDefault="00CD6A77" w:rsidP="00932338">
      <w:pPr>
        <w:pStyle w:val="Heading3"/>
      </w:pPr>
      <w:bookmarkStart w:id="24" w:name="_Hlk60908933"/>
      <w:r>
        <w:t xml:space="preserve">Wednesday, March </w:t>
      </w:r>
      <w:r w:rsidR="00BD2640">
        <w:t>30</w:t>
      </w:r>
      <w:r>
        <w:t>, 202</w:t>
      </w:r>
      <w:bookmarkEnd w:id="24"/>
      <w:r w:rsidR="00BD2640">
        <w:t>2</w:t>
      </w:r>
      <w:r>
        <w:t>:</w:t>
      </w:r>
      <w:r w:rsidR="00A525A5">
        <w:t xml:space="preserve"> </w:t>
      </w:r>
      <w:r w:rsidR="00D87FEB">
        <w:t>Ethnographies of the Plantation – Part II</w:t>
      </w:r>
    </w:p>
    <w:p w14:paraId="7CF2D9A7" w14:textId="77777777" w:rsidR="00E43AD3" w:rsidRDefault="00E43AD3" w:rsidP="00E43AD3">
      <w:pPr>
        <w:spacing w:after="0"/>
        <w:rPr>
          <w:shd w:val="clear" w:color="auto" w:fill="FFFFFF"/>
        </w:rPr>
      </w:pPr>
      <w:proofErr w:type="spellStart"/>
      <w:r w:rsidRPr="009813DD">
        <w:rPr>
          <w:shd w:val="clear" w:color="auto" w:fill="FFFFFF"/>
        </w:rPr>
        <w:t>Besky</w:t>
      </w:r>
      <w:proofErr w:type="spellEnd"/>
      <w:r w:rsidRPr="009813DD">
        <w:rPr>
          <w:shd w:val="clear" w:color="auto" w:fill="FFFFFF"/>
        </w:rPr>
        <w:t>, S. (2013). </w:t>
      </w:r>
      <w:r w:rsidRPr="009813DD">
        <w:rPr>
          <w:i/>
          <w:iCs/>
          <w:shd w:val="clear" w:color="auto" w:fill="FFFFFF"/>
        </w:rPr>
        <w:t>The Darjeeling Distinction</w:t>
      </w:r>
      <w:r w:rsidRPr="009813DD">
        <w:rPr>
          <w:shd w:val="clear" w:color="auto" w:fill="FFFFFF"/>
        </w:rPr>
        <w:t>. University of California Press.</w:t>
      </w:r>
      <w:r>
        <w:rPr>
          <w:shd w:val="clear" w:color="auto" w:fill="FFFFFF"/>
        </w:rPr>
        <w:t xml:space="preserve"> </w:t>
      </w:r>
    </w:p>
    <w:p w14:paraId="0B94DF78" w14:textId="28F2D4FE" w:rsidR="00E43AD3" w:rsidRDefault="00E43AD3" w:rsidP="00E43AD3">
      <w:pPr>
        <w:pStyle w:val="ListParagraph"/>
        <w:numPr>
          <w:ilvl w:val="0"/>
          <w:numId w:val="47"/>
        </w:numPr>
        <w:rPr>
          <w:shd w:val="clear" w:color="auto" w:fill="FFFFFF"/>
        </w:rPr>
      </w:pPr>
      <w:r>
        <w:rPr>
          <w:shd w:val="clear" w:color="auto" w:fill="FFFFFF"/>
        </w:rPr>
        <w:t>Chapter 4: Fairness (pp. 113-135)</w:t>
      </w:r>
    </w:p>
    <w:p w14:paraId="694DC58C" w14:textId="758E5B3D" w:rsidR="00E43AD3" w:rsidRPr="00E43AD3" w:rsidRDefault="00E43AD3" w:rsidP="00E43AD3">
      <w:pPr>
        <w:pStyle w:val="ListParagraph"/>
        <w:numPr>
          <w:ilvl w:val="0"/>
          <w:numId w:val="47"/>
        </w:numPr>
        <w:rPr>
          <w:shd w:val="clear" w:color="auto" w:fill="FFFFFF"/>
        </w:rPr>
      </w:pPr>
      <w:r w:rsidRPr="00E43AD3">
        <w:rPr>
          <w:shd w:val="clear" w:color="auto" w:fill="FFFFFF"/>
        </w:rPr>
        <w:t>C</w:t>
      </w:r>
      <w:r>
        <w:rPr>
          <w:shd w:val="clear" w:color="auto" w:fill="FFFFFF"/>
        </w:rPr>
        <w:t>onclusion: Is Something Better Than Nothing? (pp. 171-180)</w:t>
      </w:r>
    </w:p>
    <w:p w14:paraId="5BBD11DE" w14:textId="62AA5913" w:rsidR="004D653A" w:rsidRPr="009813DD" w:rsidRDefault="004D653A" w:rsidP="004D653A">
      <w:pPr>
        <w:pStyle w:val="Heading2"/>
        <w:jc w:val="center"/>
        <w:rPr>
          <w:shd w:val="clear" w:color="auto" w:fill="FFFFFF"/>
        </w:rPr>
      </w:pPr>
      <w:r>
        <w:rPr>
          <w:shd w:val="clear" w:color="auto" w:fill="FFFFFF"/>
        </w:rPr>
        <w:lastRenderedPageBreak/>
        <w:t>Part 4: Possibilities</w:t>
      </w:r>
    </w:p>
    <w:p w14:paraId="0BA1B2C5" w14:textId="59B165E6" w:rsidR="00F41BAD" w:rsidRDefault="00CD6A77" w:rsidP="00932338">
      <w:pPr>
        <w:pStyle w:val="Heading3"/>
      </w:pPr>
      <w:bookmarkStart w:id="25" w:name="_Hlk60908951"/>
      <w:r>
        <w:t xml:space="preserve">Monday, </w:t>
      </w:r>
      <w:r w:rsidR="00BD2640">
        <w:t>April 4</w:t>
      </w:r>
      <w:r>
        <w:t>, 202</w:t>
      </w:r>
      <w:bookmarkEnd w:id="25"/>
      <w:r w:rsidR="00BD2640">
        <w:t>2</w:t>
      </w:r>
      <w:r>
        <w:t xml:space="preserve">: </w:t>
      </w:r>
      <w:r w:rsidR="00D87FEB">
        <w:t>Ethnographies of Ruin and Possibility – Part I</w:t>
      </w:r>
    </w:p>
    <w:p w14:paraId="3C4AF108" w14:textId="4B856836" w:rsidR="009813DD" w:rsidRDefault="009813DD" w:rsidP="00923AE2">
      <w:pPr>
        <w:spacing w:after="0"/>
        <w:rPr>
          <w:shd w:val="clear" w:color="auto" w:fill="FFFFFF"/>
        </w:rPr>
      </w:pPr>
      <w:r w:rsidRPr="009813DD">
        <w:rPr>
          <w:shd w:val="clear" w:color="auto" w:fill="FFFFFF"/>
        </w:rPr>
        <w:t>Tsing, A. L. (2015). </w:t>
      </w:r>
      <w:r w:rsidRPr="009813DD">
        <w:rPr>
          <w:i/>
          <w:iCs/>
          <w:shd w:val="clear" w:color="auto" w:fill="FFFFFF"/>
        </w:rPr>
        <w:t>The Mushroom at the End of the World</w:t>
      </w:r>
      <w:r w:rsidRPr="009813DD">
        <w:rPr>
          <w:shd w:val="clear" w:color="auto" w:fill="FFFFFF"/>
        </w:rPr>
        <w:t>. Princeton University Press.</w:t>
      </w:r>
      <w:r w:rsidR="00E777AB">
        <w:rPr>
          <w:shd w:val="clear" w:color="auto" w:fill="FFFFFF"/>
        </w:rPr>
        <w:t xml:space="preserve"> </w:t>
      </w:r>
    </w:p>
    <w:p w14:paraId="57FBC179" w14:textId="72ACF5DD" w:rsidR="00923AE2" w:rsidRDefault="00923AE2" w:rsidP="00923AE2">
      <w:pPr>
        <w:pStyle w:val="ListParagraph"/>
        <w:numPr>
          <w:ilvl w:val="0"/>
          <w:numId w:val="48"/>
        </w:numPr>
        <w:rPr>
          <w:shd w:val="clear" w:color="auto" w:fill="FFFFFF"/>
        </w:rPr>
      </w:pPr>
      <w:r>
        <w:rPr>
          <w:shd w:val="clear" w:color="auto" w:fill="FFFFFF"/>
        </w:rPr>
        <w:t>Prologue: Autumn Aroma (pp. 1-9)</w:t>
      </w:r>
    </w:p>
    <w:p w14:paraId="706111FF" w14:textId="6221C39C" w:rsidR="00923AE2" w:rsidRDefault="00923AE2" w:rsidP="00923AE2">
      <w:pPr>
        <w:pStyle w:val="ListParagraph"/>
        <w:numPr>
          <w:ilvl w:val="0"/>
          <w:numId w:val="48"/>
        </w:numPr>
        <w:rPr>
          <w:shd w:val="clear" w:color="auto" w:fill="FFFFFF"/>
        </w:rPr>
      </w:pPr>
      <w:r>
        <w:rPr>
          <w:shd w:val="clear" w:color="auto" w:fill="FFFFFF"/>
        </w:rPr>
        <w:t>Chapter 1: Arts of Noticing (pp. 17-25)</w:t>
      </w:r>
    </w:p>
    <w:p w14:paraId="445A254B" w14:textId="06CD5571" w:rsidR="00FC2613" w:rsidRPr="00FC2613" w:rsidRDefault="00FC2613" w:rsidP="00923AE2">
      <w:pPr>
        <w:pStyle w:val="ListParagraph"/>
        <w:numPr>
          <w:ilvl w:val="0"/>
          <w:numId w:val="48"/>
        </w:numPr>
        <w:rPr>
          <w:shd w:val="clear" w:color="auto" w:fill="FFFFFF"/>
          <w:lang w:val="fr-FR"/>
        </w:rPr>
      </w:pPr>
      <w:proofErr w:type="spellStart"/>
      <w:r w:rsidRPr="00FC2613">
        <w:rPr>
          <w:shd w:val="clear" w:color="auto" w:fill="FFFFFF"/>
          <w:lang w:val="fr-FR"/>
        </w:rPr>
        <w:t>Chapter</w:t>
      </w:r>
      <w:proofErr w:type="spellEnd"/>
      <w:r w:rsidRPr="00FC2613">
        <w:rPr>
          <w:shd w:val="clear" w:color="auto" w:fill="FFFFFF"/>
          <w:lang w:val="fr-FR"/>
        </w:rPr>
        <w:t xml:space="preserve"> </w:t>
      </w:r>
      <w:proofErr w:type="gramStart"/>
      <w:r w:rsidRPr="00FC2613">
        <w:rPr>
          <w:shd w:val="clear" w:color="auto" w:fill="FFFFFF"/>
          <w:lang w:val="fr-FR"/>
        </w:rPr>
        <w:t>2:</w:t>
      </w:r>
      <w:proofErr w:type="gramEnd"/>
      <w:r w:rsidRPr="00FC2613">
        <w:rPr>
          <w:shd w:val="clear" w:color="auto" w:fill="FFFFFF"/>
          <w:lang w:val="fr-FR"/>
        </w:rPr>
        <w:t xml:space="preserve"> Contamination as Collaboration (p</w:t>
      </w:r>
      <w:r>
        <w:rPr>
          <w:shd w:val="clear" w:color="auto" w:fill="FFFFFF"/>
          <w:lang w:val="fr-FR"/>
        </w:rPr>
        <w:t>p. 27-34)</w:t>
      </w:r>
    </w:p>
    <w:p w14:paraId="06228820" w14:textId="33FF50E2" w:rsidR="00FC2613" w:rsidRDefault="00FC2613" w:rsidP="00923AE2">
      <w:pPr>
        <w:pStyle w:val="ListParagraph"/>
        <w:numPr>
          <w:ilvl w:val="0"/>
          <w:numId w:val="48"/>
        </w:numPr>
        <w:rPr>
          <w:shd w:val="clear" w:color="auto" w:fill="FFFFFF"/>
        </w:rPr>
      </w:pPr>
      <w:r>
        <w:rPr>
          <w:shd w:val="clear" w:color="auto" w:fill="FFFFFF"/>
        </w:rPr>
        <w:t>Chapter 3: Some Problems with Scale (pp. 37-43)</w:t>
      </w:r>
    </w:p>
    <w:p w14:paraId="57F8B60C" w14:textId="7060D3C5" w:rsidR="005205AE" w:rsidRDefault="005205AE" w:rsidP="00923AE2">
      <w:pPr>
        <w:pStyle w:val="ListParagraph"/>
        <w:numPr>
          <w:ilvl w:val="0"/>
          <w:numId w:val="48"/>
        </w:numPr>
        <w:rPr>
          <w:shd w:val="clear" w:color="auto" w:fill="FFFFFF"/>
        </w:rPr>
      </w:pPr>
      <w:r>
        <w:rPr>
          <w:shd w:val="clear" w:color="auto" w:fill="FFFFFF"/>
        </w:rPr>
        <w:t>Intro to Part II: After Progress: Salvage Accumulation (pp. 57-58)</w:t>
      </w:r>
    </w:p>
    <w:p w14:paraId="2F24A532" w14:textId="23E38E4F" w:rsidR="005205AE" w:rsidRDefault="005205AE" w:rsidP="00923AE2">
      <w:pPr>
        <w:pStyle w:val="ListParagraph"/>
        <w:numPr>
          <w:ilvl w:val="0"/>
          <w:numId w:val="48"/>
        </w:numPr>
        <w:rPr>
          <w:shd w:val="clear" w:color="auto" w:fill="FFFFFF"/>
        </w:rPr>
      </w:pPr>
      <w:r>
        <w:rPr>
          <w:shd w:val="clear" w:color="auto" w:fill="FFFFFF"/>
        </w:rPr>
        <w:t>Chapter 4: Working the Edge (pp. 61-70)</w:t>
      </w:r>
    </w:p>
    <w:p w14:paraId="06F3E1D7" w14:textId="72198BD2" w:rsidR="00923AE2" w:rsidRPr="00923AE2" w:rsidRDefault="00923AE2" w:rsidP="00923AE2">
      <w:pPr>
        <w:pStyle w:val="ListParagraph"/>
        <w:numPr>
          <w:ilvl w:val="0"/>
          <w:numId w:val="48"/>
        </w:numPr>
        <w:rPr>
          <w:shd w:val="clear" w:color="auto" w:fill="FFFFFF"/>
        </w:rPr>
      </w:pPr>
      <w:r>
        <w:rPr>
          <w:shd w:val="clear" w:color="auto" w:fill="FFFFFF"/>
        </w:rPr>
        <w:t>Chapter 5: Open Ticket, Oregon (pp. 73-83)</w:t>
      </w:r>
    </w:p>
    <w:p w14:paraId="3A2DFF3A" w14:textId="5CBBA9EE" w:rsidR="00393A09" w:rsidRDefault="00CD6A77" w:rsidP="00932338">
      <w:pPr>
        <w:pStyle w:val="Heading3"/>
      </w:pPr>
      <w:bookmarkStart w:id="26" w:name="_Hlk60908964"/>
      <w:r>
        <w:t xml:space="preserve">Wednesday, </w:t>
      </w:r>
      <w:r w:rsidR="00BD2640">
        <w:t>April 6</w:t>
      </w:r>
      <w:r>
        <w:t>, 202</w:t>
      </w:r>
      <w:bookmarkEnd w:id="26"/>
      <w:r w:rsidR="00BD2640">
        <w:t>2</w:t>
      </w:r>
      <w:r>
        <w:t>:</w:t>
      </w:r>
      <w:r w:rsidR="00A525A5">
        <w:t xml:space="preserve"> </w:t>
      </w:r>
      <w:r w:rsidR="00D87FEB">
        <w:t>Ethnographies of Ruin and Possibility – Part II</w:t>
      </w:r>
    </w:p>
    <w:p w14:paraId="722CEAC8" w14:textId="77777777" w:rsidR="00923AE2" w:rsidRDefault="00923AE2" w:rsidP="00923AE2">
      <w:pPr>
        <w:spacing w:after="0"/>
        <w:rPr>
          <w:shd w:val="clear" w:color="auto" w:fill="FFFFFF"/>
        </w:rPr>
      </w:pPr>
      <w:r w:rsidRPr="009813DD">
        <w:rPr>
          <w:shd w:val="clear" w:color="auto" w:fill="FFFFFF"/>
        </w:rPr>
        <w:t>Tsing, A. L. (2015). </w:t>
      </w:r>
      <w:r w:rsidRPr="009813DD">
        <w:rPr>
          <w:i/>
          <w:iCs/>
          <w:shd w:val="clear" w:color="auto" w:fill="FFFFFF"/>
        </w:rPr>
        <w:t>The Mushroom at the End of the World</w:t>
      </w:r>
      <w:r w:rsidRPr="009813DD">
        <w:rPr>
          <w:shd w:val="clear" w:color="auto" w:fill="FFFFFF"/>
        </w:rPr>
        <w:t>. Princeton University Press.</w:t>
      </w:r>
      <w:r>
        <w:rPr>
          <w:shd w:val="clear" w:color="auto" w:fill="FFFFFF"/>
        </w:rPr>
        <w:t xml:space="preserve"> </w:t>
      </w:r>
    </w:p>
    <w:p w14:paraId="127EC6E0" w14:textId="3463A7E7" w:rsidR="00011D51" w:rsidRDefault="00011D51" w:rsidP="00923AE2">
      <w:pPr>
        <w:pStyle w:val="ListParagraph"/>
        <w:numPr>
          <w:ilvl w:val="0"/>
          <w:numId w:val="48"/>
        </w:numPr>
        <w:rPr>
          <w:shd w:val="clear" w:color="auto" w:fill="FFFFFF"/>
        </w:rPr>
      </w:pPr>
      <w:r>
        <w:rPr>
          <w:shd w:val="clear" w:color="auto" w:fill="FFFFFF"/>
        </w:rPr>
        <w:t>Chapter 9: From Gifts to Commodities—and Back (pp. 121-128)</w:t>
      </w:r>
    </w:p>
    <w:p w14:paraId="6E2D0D2D" w14:textId="5F5F7B65" w:rsidR="00011D51" w:rsidRDefault="00011D51" w:rsidP="00923AE2">
      <w:pPr>
        <w:pStyle w:val="ListParagraph"/>
        <w:numPr>
          <w:ilvl w:val="0"/>
          <w:numId w:val="48"/>
        </w:numPr>
        <w:rPr>
          <w:shd w:val="clear" w:color="auto" w:fill="FFFFFF"/>
        </w:rPr>
      </w:pPr>
      <w:r>
        <w:rPr>
          <w:shd w:val="clear" w:color="auto" w:fill="FFFFFF"/>
        </w:rPr>
        <w:t>Chapter 10: Salvage Rhythms: Business in Disturbance (pp. 131-135)</w:t>
      </w:r>
    </w:p>
    <w:p w14:paraId="6D0DC5AE" w14:textId="2FF7CFC4" w:rsidR="00011D51" w:rsidRDefault="00011D51" w:rsidP="00923AE2">
      <w:pPr>
        <w:pStyle w:val="ListParagraph"/>
        <w:numPr>
          <w:ilvl w:val="0"/>
          <w:numId w:val="48"/>
        </w:numPr>
        <w:rPr>
          <w:shd w:val="clear" w:color="auto" w:fill="FFFFFF"/>
        </w:rPr>
      </w:pPr>
      <w:r>
        <w:rPr>
          <w:shd w:val="clear" w:color="auto" w:fill="FFFFFF"/>
        </w:rPr>
        <w:t>Interlude: Tracking (pp. 137-144)</w:t>
      </w:r>
    </w:p>
    <w:p w14:paraId="4037DF36" w14:textId="4256AEDA" w:rsidR="00923AE2" w:rsidRDefault="00923AE2" w:rsidP="00923AE2">
      <w:pPr>
        <w:pStyle w:val="ListParagraph"/>
        <w:numPr>
          <w:ilvl w:val="0"/>
          <w:numId w:val="48"/>
        </w:numPr>
        <w:rPr>
          <w:shd w:val="clear" w:color="auto" w:fill="FFFFFF"/>
        </w:rPr>
      </w:pPr>
      <w:r>
        <w:rPr>
          <w:shd w:val="clear" w:color="auto" w:fill="FFFFFF"/>
        </w:rPr>
        <w:t>Chapter 11: The Life of the Forest (pp. 155-163)</w:t>
      </w:r>
    </w:p>
    <w:p w14:paraId="3A7AEB77" w14:textId="6BD743FD" w:rsidR="00923AE2" w:rsidRDefault="00923AE2" w:rsidP="00923AE2">
      <w:pPr>
        <w:pStyle w:val="ListParagraph"/>
        <w:numPr>
          <w:ilvl w:val="0"/>
          <w:numId w:val="48"/>
        </w:numPr>
        <w:rPr>
          <w:shd w:val="clear" w:color="auto" w:fill="FFFFFF"/>
        </w:rPr>
      </w:pPr>
      <w:r>
        <w:rPr>
          <w:shd w:val="clear" w:color="auto" w:fill="FFFFFF"/>
        </w:rPr>
        <w:t>Chapter 13: Resurgence (pp. 179-190)</w:t>
      </w:r>
    </w:p>
    <w:p w14:paraId="3C583234" w14:textId="3183ABC3" w:rsidR="005205AE" w:rsidRDefault="005205AE" w:rsidP="00923AE2">
      <w:pPr>
        <w:pStyle w:val="ListParagraph"/>
        <w:numPr>
          <w:ilvl w:val="0"/>
          <w:numId w:val="48"/>
        </w:numPr>
        <w:rPr>
          <w:shd w:val="clear" w:color="auto" w:fill="FFFFFF"/>
        </w:rPr>
      </w:pPr>
      <w:r>
        <w:rPr>
          <w:shd w:val="clear" w:color="auto" w:fill="FFFFFF"/>
        </w:rPr>
        <w:t>Chapter 20: Anti-Ending: Some People I Met Along the Way (pp. 277-282)</w:t>
      </w:r>
    </w:p>
    <w:p w14:paraId="039823BA" w14:textId="0A4CC59E" w:rsidR="0030205E" w:rsidRPr="00366E40" w:rsidRDefault="00CD6A77" w:rsidP="00932338">
      <w:pPr>
        <w:pStyle w:val="Heading3"/>
      </w:pPr>
      <w:bookmarkStart w:id="27" w:name="_Hlk60908983"/>
      <w:r>
        <w:t xml:space="preserve">Monday, April </w:t>
      </w:r>
      <w:r w:rsidR="00BD2640">
        <w:t>11</w:t>
      </w:r>
      <w:r>
        <w:t>, 202</w:t>
      </w:r>
      <w:bookmarkEnd w:id="27"/>
      <w:r w:rsidR="00BD2640">
        <w:t>2</w:t>
      </w:r>
      <w:r>
        <w:t xml:space="preserve">: </w:t>
      </w:r>
      <w:r w:rsidR="0070695C">
        <w:t>Class Presentations</w:t>
      </w:r>
    </w:p>
    <w:p w14:paraId="11EF53CD" w14:textId="66E415BA" w:rsidR="00C07BBE" w:rsidRPr="00366E40" w:rsidRDefault="00CD6A77" w:rsidP="00932338">
      <w:pPr>
        <w:pStyle w:val="Heading3"/>
        <w:rPr>
          <w:shd w:val="clear" w:color="auto" w:fill="FFFFFF"/>
        </w:rPr>
      </w:pPr>
      <w:bookmarkStart w:id="28" w:name="_Hlk60908994"/>
      <w:r>
        <w:t xml:space="preserve">Wednesday, April </w:t>
      </w:r>
      <w:r w:rsidR="00BD2640">
        <w:t>13</w:t>
      </w:r>
      <w:r>
        <w:t>, 202</w:t>
      </w:r>
      <w:bookmarkEnd w:id="28"/>
      <w:r w:rsidR="00BD2640">
        <w:t>2</w:t>
      </w:r>
      <w:r w:rsidR="00932338">
        <w:t>:</w:t>
      </w:r>
      <w:r w:rsidR="0070695C">
        <w:t xml:space="preserve"> Class Presentations</w:t>
      </w:r>
    </w:p>
    <w:p w14:paraId="35497361" w14:textId="7802015C" w:rsidR="00BD2640" w:rsidRDefault="00CD6A77" w:rsidP="00D47E91">
      <w:pPr>
        <w:pStyle w:val="Heading3"/>
      </w:pPr>
      <w:bookmarkStart w:id="29" w:name="_Hlk60909006"/>
      <w:r>
        <w:t>Monday, April 1</w:t>
      </w:r>
      <w:r w:rsidR="00BD2640">
        <w:t>8</w:t>
      </w:r>
      <w:r>
        <w:t>, 202</w:t>
      </w:r>
      <w:bookmarkEnd w:id="29"/>
      <w:r w:rsidR="00BD2640">
        <w:t>2</w:t>
      </w:r>
      <w:r>
        <w:t xml:space="preserve">: </w:t>
      </w:r>
      <w:r w:rsidR="0070695C">
        <w:t>Semester Wrap-Up</w:t>
      </w:r>
    </w:p>
    <w:p w14:paraId="6706E112" w14:textId="1ACB7536" w:rsidR="00262CAD" w:rsidRPr="00D47E91" w:rsidRDefault="00262CAD" w:rsidP="009968A1">
      <w:pPr>
        <w:rPr>
          <w:rFonts w:ascii="Arial" w:hAnsi="Arial" w:cs="Arial"/>
          <w:color w:val="222222"/>
          <w:sz w:val="20"/>
          <w:szCs w:val="20"/>
          <w:shd w:val="clear" w:color="auto" w:fill="FFFFFF"/>
        </w:rPr>
      </w:pPr>
    </w:p>
    <w:sectPr w:rsidR="00262CAD" w:rsidRPr="00D47E91" w:rsidSect="00FF6398">
      <w:footerReference w:type="default" r:id="rId3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61BF" w14:textId="77777777" w:rsidR="00885241" w:rsidRDefault="00885241" w:rsidP="00A42B4C">
      <w:r>
        <w:separator/>
      </w:r>
    </w:p>
    <w:p w14:paraId="2B25B388" w14:textId="77777777" w:rsidR="00885241" w:rsidRDefault="00885241"/>
    <w:p w14:paraId="60652565" w14:textId="77777777" w:rsidR="00885241" w:rsidRDefault="00885241" w:rsidP="00490613"/>
  </w:endnote>
  <w:endnote w:type="continuationSeparator" w:id="0">
    <w:p w14:paraId="1759D370" w14:textId="77777777" w:rsidR="00885241" w:rsidRDefault="00885241" w:rsidP="00A42B4C">
      <w:r>
        <w:continuationSeparator/>
      </w:r>
    </w:p>
    <w:p w14:paraId="6C1120C3" w14:textId="77777777" w:rsidR="00885241" w:rsidRDefault="00885241"/>
    <w:p w14:paraId="6822D811" w14:textId="77777777" w:rsidR="00885241" w:rsidRDefault="00885241" w:rsidP="00490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Garamond-Italic">
    <w:altName w:val="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529563"/>
      <w:docPartObj>
        <w:docPartGallery w:val="Page Numbers (Bottom of Page)"/>
        <w:docPartUnique/>
      </w:docPartObj>
    </w:sdtPr>
    <w:sdtEndPr>
      <w:rPr>
        <w:noProof/>
      </w:rPr>
    </w:sdtEndPr>
    <w:sdtContent>
      <w:p w14:paraId="2A42425E" w14:textId="480D796A" w:rsidR="00EF7772" w:rsidRDefault="00EF77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A97CE" w14:textId="77777777" w:rsidR="00EF7772" w:rsidRDefault="00EF7772">
    <w:pPr>
      <w:pStyle w:val="Footer"/>
    </w:pPr>
  </w:p>
  <w:p w14:paraId="321E9BBD" w14:textId="77777777" w:rsidR="00F05C8E" w:rsidRDefault="00F05C8E"/>
  <w:p w14:paraId="77286E85" w14:textId="77777777" w:rsidR="00F05C8E" w:rsidRDefault="00F05C8E" w:rsidP="004906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C660" w14:textId="77777777" w:rsidR="00885241" w:rsidRDefault="00885241" w:rsidP="00A42B4C">
      <w:r>
        <w:separator/>
      </w:r>
    </w:p>
    <w:p w14:paraId="18E21F8D" w14:textId="77777777" w:rsidR="00885241" w:rsidRDefault="00885241"/>
    <w:p w14:paraId="35E1336C" w14:textId="77777777" w:rsidR="00885241" w:rsidRDefault="00885241" w:rsidP="00490613"/>
  </w:footnote>
  <w:footnote w:type="continuationSeparator" w:id="0">
    <w:p w14:paraId="61615AF6" w14:textId="77777777" w:rsidR="00885241" w:rsidRDefault="00885241" w:rsidP="00A42B4C">
      <w:r>
        <w:continuationSeparator/>
      </w:r>
    </w:p>
    <w:p w14:paraId="6EEB751E" w14:textId="77777777" w:rsidR="00885241" w:rsidRDefault="00885241"/>
    <w:p w14:paraId="59F8F35D" w14:textId="77777777" w:rsidR="00885241" w:rsidRDefault="00885241" w:rsidP="004906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B84012"/>
    <w:multiLevelType w:val="hybridMultilevel"/>
    <w:tmpl w:val="4B44C9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3CC81B"/>
    <w:multiLevelType w:val="hybridMultilevel"/>
    <w:tmpl w:val="68558A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CDFF8D"/>
    <w:multiLevelType w:val="hybridMultilevel"/>
    <w:tmpl w:val="BCF806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96EBB"/>
    <w:multiLevelType w:val="hybridMultilevel"/>
    <w:tmpl w:val="146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64F18C"/>
    <w:multiLevelType w:val="hybridMultilevel"/>
    <w:tmpl w:val="589B15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7221CD"/>
    <w:multiLevelType w:val="hybridMultilevel"/>
    <w:tmpl w:val="67D60366"/>
    <w:lvl w:ilvl="0" w:tplc="04090001">
      <w:start w:val="1"/>
      <w:numFmt w:val="bullet"/>
      <w:lvlText w:val=""/>
      <w:lvlJc w:val="left"/>
      <w:pPr>
        <w:ind w:left="144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5F007CF"/>
    <w:multiLevelType w:val="hybridMultilevel"/>
    <w:tmpl w:val="67E2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03308B"/>
    <w:multiLevelType w:val="hybridMultilevel"/>
    <w:tmpl w:val="F86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6C5E4F"/>
    <w:multiLevelType w:val="hybridMultilevel"/>
    <w:tmpl w:val="B008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8923E9"/>
    <w:multiLevelType w:val="hybridMultilevel"/>
    <w:tmpl w:val="C632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E67E75"/>
    <w:multiLevelType w:val="hybridMultilevel"/>
    <w:tmpl w:val="0A5C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A468CA"/>
    <w:multiLevelType w:val="hybridMultilevel"/>
    <w:tmpl w:val="AFC0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D15B5"/>
    <w:multiLevelType w:val="hybridMultilevel"/>
    <w:tmpl w:val="7F7A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E19F5"/>
    <w:multiLevelType w:val="multilevel"/>
    <w:tmpl w:val="25C68F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016D9C3"/>
    <w:multiLevelType w:val="hybridMultilevel"/>
    <w:tmpl w:val="B7698B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0FD76EB"/>
    <w:multiLevelType w:val="hybridMultilevel"/>
    <w:tmpl w:val="BA36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3A10CB"/>
    <w:multiLevelType w:val="hybridMultilevel"/>
    <w:tmpl w:val="017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64E8"/>
    <w:multiLevelType w:val="hybridMultilevel"/>
    <w:tmpl w:val="4B64C4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3037E00"/>
    <w:multiLevelType w:val="hybridMultilevel"/>
    <w:tmpl w:val="3528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47C4E"/>
    <w:multiLevelType w:val="hybridMultilevel"/>
    <w:tmpl w:val="1086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E708B4"/>
    <w:multiLevelType w:val="hybridMultilevel"/>
    <w:tmpl w:val="16DBF9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9157A41"/>
    <w:multiLevelType w:val="hybridMultilevel"/>
    <w:tmpl w:val="E748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B01A34"/>
    <w:multiLevelType w:val="hybridMultilevel"/>
    <w:tmpl w:val="F4C4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66221A"/>
    <w:multiLevelType w:val="hybridMultilevel"/>
    <w:tmpl w:val="0390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9655E"/>
    <w:multiLevelType w:val="hybridMultilevel"/>
    <w:tmpl w:val="468E4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F25B9D"/>
    <w:multiLevelType w:val="multilevel"/>
    <w:tmpl w:val="C158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D417C0"/>
    <w:multiLevelType w:val="hybridMultilevel"/>
    <w:tmpl w:val="CFA6A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E3C08"/>
    <w:multiLevelType w:val="hybridMultilevel"/>
    <w:tmpl w:val="8B32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D712D"/>
    <w:multiLevelType w:val="hybridMultilevel"/>
    <w:tmpl w:val="3A08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2576D"/>
    <w:multiLevelType w:val="hybridMultilevel"/>
    <w:tmpl w:val="8A68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A1B1C"/>
    <w:multiLevelType w:val="hybridMultilevel"/>
    <w:tmpl w:val="6334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759C5"/>
    <w:multiLevelType w:val="hybridMultilevel"/>
    <w:tmpl w:val="596A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B394E"/>
    <w:multiLevelType w:val="hybridMultilevel"/>
    <w:tmpl w:val="CCC0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63D3C"/>
    <w:multiLevelType w:val="hybridMultilevel"/>
    <w:tmpl w:val="ABE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12390"/>
    <w:multiLevelType w:val="hybridMultilevel"/>
    <w:tmpl w:val="0E42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66CFB"/>
    <w:multiLevelType w:val="multilevel"/>
    <w:tmpl w:val="36E0A9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B073440"/>
    <w:multiLevelType w:val="hybridMultilevel"/>
    <w:tmpl w:val="719A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41DB5"/>
    <w:multiLevelType w:val="hybridMultilevel"/>
    <w:tmpl w:val="BF1A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74161"/>
    <w:multiLevelType w:val="hybridMultilevel"/>
    <w:tmpl w:val="204EC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A4D32"/>
    <w:multiLevelType w:val="hybridMultilevel"/>
    <w:tmpl w:val="D3620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10B77"/>
    <w:multiLevelType w:val="hybridMultilevel"/>
    <w:tmpl w:val="1B2E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C7A88"/>
    <w:multiLevelType w:val="hybridMultilevel"/>
    <w:tmpl w:val="FF10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047CA"/>
    <w:multiLevelType w:val="hybridMultilevel"/>
    <w:tmpl w:val="CC5C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1C22F3"/>
    <w:multiLevelType w:val="hybridMultilevel"/>
    <w:tmpl w:val="480598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84C56FE"/>
    <w:multiLevelType w:val="hybridMultilevel"/>
    <w:tmpl w:val="0A8E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43060"/>
    <w:multiLevelType w:val="hybridMultilevel"/>
    <w:tmpl w:val="0DE2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64FFF"/>
    <w:multiLevelType w:val="hybridMultilevel"/>
    <w:tmpl w:val="4CE4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237D1"/>
    <w:multiLevelType w:val="hybridMultilevel"/>
    <w:tmpl w:val="FD62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16081">
    <w:abstractNumId w:val="35"/>
  </w:num>
  <w:num w:numId="2" w16cid:durableId="671226603">
    <w:abstractNumId w:val="13"/>
  </w:num>
  <w:num w:numId="3" w16cid:durableId="477264590">
    <w:abstractNumId w:val="25"/>
  </w:num>
  <w:num w:numId="4" w16cid:durableId="1332828875">
    <w:abstractNumId w:val="36"/>
  </w:num>
  <w:num w:numId="5" w16cid:durableId="688679897">
    <w:abstractNumId w:val="6"/>
  </w:num>
  <w:num w:numId="6" w16cid:durableId="1021708607">
    <w:abstractNumId w:val="33"/>
  </w:num>
  <w:num w:numId="7" w16cid:durableId="1949196493">
    <w:abstractNumId w:val="26"/>
  </w:num>
  <w:num w:numId="8" w16cid:durableId="1238439713">
    <w:abstractNumId w:val="3"/>
  </w:num>
  <w:num w:numId="9" w16cid:durableId="291520919">
    <w:abstractNumId w:val="8"/>
  </w:num>
  <w:num w:numId="10" w16cid:durableId="1803307552">
    <w:abstractNumId w:val="9"/>
  </w:num>
  <w:num w:numId="11" w16cid:durableId="2041585252">
    <w:abstractNumId w:val="21"/>
  </w:num>
  <w:num w:numId="12" w16cid:durableId="2122141646">
    <w:abstractNumId w:val="17"/>
  </w:num>
  <w:num w:numId="13" w16cid:durableId="1110396295">
    <w:abstractNumId w:val="12"/>
  </w:num>
  <w:num w:numId="14" w16cid:durableId="480584975">
    <w:abstractNumId w:val="11"/>
  </w:num>
  <w:num w:numId="15" w16cid:durableId="2027557103">
    <w:abstractNumId w:val="40"/>
  </w:num>
  <w:num w:numId="16" w16cid:durableId="782962989">
    <w:abstractNumId w:val="47"/>
  </w:num>
  <w:num w:numId="17" w16cid:durableId="1640647559">
    <w:abstractNumId w:val="44"/>
  </w:num>
  <w:num w:numId="18" w16cid:durableId="329219365">
    <w:abstractNumId w:val="38"/>
  </w:num>
  <w:num w:numId="19" w16cid:durableId="1898975520">
    <w:abstractNumId w:val="15"/>
  </w:num>
  <w:num w:numId="20" w16cid:durableId="1572426301">
    <w:abstractNumId w:val="27"/>
  </w:num>
  <w:num w:numId="21" w16cid:durableId="1433359772">
    <w:abstractNumId w:val="32"/>
  </w:num>
  <w:num w:numId="22" w16cid:durableId="1762680207">
    <w:abstractNumId w:val="10"/>
  </w:num>
  <w:num w:numId="23" w16cid:durableId="1822690936">
    <w:abstractNumId w:val="29"/>
  </w:num>
  <w:num w:numId="24" w16cid:durableId="258025774">
    <w:abstractNumId w:val="23"/>
  </w:num>
  <w:num w:numId="25" w16cid:durableId="1092044896">
    <w:abstractNumId w:val="39"/>
  </w:num>
  <w:num w:numId="26" w16cid:durableId="1619527129">
    <w:abstractNumId w:val="20"/>
  </w:num>
  <w:num w:numId="27" w16cid:durableId="586116022">
    <w:abstractNumId w:val="0"/>
  </w:num>
  <w:num w:numId="28" w16cid:durableId="1341934154">
    <w:abstractNumId w:val="1"/>
  </w:num>
  <w:num w:numId="29" w16cid:durableId="834537854">
    <w:abstractNumId w:val="2"/>
  </w:num>
  <w:num w:numId="30" w16cid:durableId="428351596">
    <w:abstractNumId w:val="43"/>
  </w:num>
  <w:num w:numId="31" w16cid:durableId="694842514">
    <w:abstractNumId w:val="14"/>
  </w:num>
  <w:num w:numId="32" w16cid:durableId="1403406048">
    <w:abstractNumId w:val="4"/>
  </w:num>
  <w:num w:numId="33" w16cid:durableId="581960924">
    <w:abstractNumId w:val="16"/>
  </w:num>
  <w:num w:numId="34" w16cid:durableId="1517646966">
    <w:abstractNumId w:val="34"/>
  </w:num>
  <w:num w:numId="35" w16cid:durableId="1783839584">
    <w:abstractNumId w:val="5"/>
  </w:num>
  <w:num w:numId="36" w16cid:durableId="1167475031">
    <w:abstractNumId w:val="24"/>
  </w:num>
  <w:num w:numId="37" w16cid:durableId="702557028">
    <w:abstractNumId w:val="19"/>
  </w:num>
  <w:num w:numId="38" w16cid:durableId="934049658">
    <w:abstractNumId w:val="30"/>
  </w:num>
  <w:num w:numId="39" w16cid:durableId="385565472">
    <w:abstractNumId w:val="37"/>
  </w:num>
  <w:num w:numId="40" w16cid:durableId="1637223952">
    <w:abstractNumId w:val="42"/>
  </w:num>
  <w:num w:numId="41" w16cid:durableId="216432029">
    <w:abstractNumId w:val="28"/>
  </w:num>
  <w:num w:numId="42" w16cid:durableId="688534025">
    <w:abstractNumId w:val="7"/>
  </w:num>
  <w:num w:numId="43" w16cid:durableId="939919503">
    <w:abstractNumId w:val="45"/>
  </w:num>
  <w:num w:numId="44" w16cid:durableId="1613201298">
    <w:abstractNumId w:val="18"/>
  </w:num>
  <w:num w:numId="45" w16cid:durableId="1666323253">
    <w:abstractNumId w:val="31"/>
  </w:num>
  <w:num w:numId="46" w16cid:durableId="1731151769">
    <w:abstractNumId w:val="41"/>
  </w:num>
  <w:num w:numId="47" w16cid:durableId="549927854">
    <w:abstractNumId w:val="46"/>
  </w:num>
  <w:num w:numId="48" w16cid:durableId="13342143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57"/>
    <w:rsid w:val="00001A1A"/>
    <w:rsid w:val="000041F0"/>
    <w:rsid w:val="000100E6"/>
    <w:rsid w:val="00011D51"/>
    <w:rsid w:val="00013E52"/>
    <w:rsid w:val="00026B75"/>
    <w:rsid w:val="0003008C"/>
    <w:rsid w:val="000342BD"/>
    <w:rsid w:val="00042966"/>
    <w:rsid w:val="000543D9"/>
    <w:rsid w:val="0005511A"/>
    <w:rsid w:val="00057BDE"/>
    <w:rsid w:val="00062AC4"/>
    <w:rsid w:val="00063C86"/>
    <w:rsid w:val="000700FE"/>
    <w:rsid w:val="000759E9"/>
    <w:rsid w:val="00092030"/>
    <w:rsid w:val="00093BEE"/>
    <w:rsid w:val="00094B8B"/>
    <w:rsid w:val="00095B94"/>
    <w:rsid w:val="00096493"/>
    <w:rsid w:val="000A38B4"/>
    <w:rsid w:val="000A4122"/>
    <w:rsid w:val="000A6949"/>
    <w:rsid w:val="000C6485"/>
    <w:rsid w:val="000D3FA6"/>
    <w:rsid w:val="000D564A"/>
    <w:rsid w:val="000D6E8E"/>
    <w:rsid w:val="000E1E71"/>
    <w:rsid w:val="000F0D43"/>
    <w:rsid w:val="000F46DB"/>
    <w:rsid w:val="0010085E"/>
    <w:rsid w:val="00106C53"/>
    <w:rsid w:val="00112C6C"/>
    <w:rsid w:val="0012722C"/>
    <w:rsid w:val="001303C6"/>
    <w:rsid w:val="00130830"/>
    <w:rsid w:val="00131311"/>
    <w:rsid w:val="001431AE"/>
    <w:rsid w:val="00144188"/>
    <w:rsid w:val="00147D80"/>
    <w:rsid w:val="00152980"/>
    <w:rsid w:val="00153CE1"/>
    <w:rsid w:val="00154C9C"/>
    <w:rsid w:val="00163BE6"/>
    <w:rsid w:val="00170A80"/>
    <w:rsid w:val="0018155F"/>
    <w:rsid w:val="001945B1"/>
    <w:rsid w:val="00195C36"/>
    <w:rsid w:val="001967FC"/>
    <w:rsid w:val="001A0BCC"/>
    <w:rsid w:val="001A170C"/>
    <w:rsid w:val="001A2CA7"/>
    <w:rsid w:val="001A30DA"/>
    <w:rsid w:val="001A757B"/>
    <w:rsid w:val="001A7777"/>
    <w:rsid w:val="001B3573"/>
    <w:rsid w:val="001C1DD4"/>
    <w:rsid w:val="001C446A"/>
    <w:rsid w:val="001E74FE"/>
    <w:rsid w:val="001E79AA"/>
    <w:rsid w:val="00206F2F"/>
    <w:rsid w:val="00214E42"/>
    <w:rsid w:val="00217370"/>
    <w:rsid w:val="0021771E"/>
    <w:rsid w:val="00221B60"/>
    <w:rsid w:val="00224F48"/>
    <w:rsid w:val="002321B4"/>
    <w:rsid w:val="00242269"/>
    <w:rsid w:val="0024552B"/>
    <w:rsid w:val="002470F0"/>
    <w:rsid w:val="002558B7"/>
    <w:rsid w:val="00261DB8"/>
    <w:rsid w:val="00262CAD"/>
    <w:rsid w:val="002648D6"/>
    <w:rsid w:val="00265266"/>
    <w:rsid w:val="00265312"/>
    <w:rsid w:val="00272BDB"/>
    <w:rsid w:val="002855E2"/>
    <w:rsid w:val="00285CB2"/>
    <w:rsid w:val="00285FC0"/>
    <w:rsid w:val="00286AFF"/>
    <w:rsid w:val="00290C5E"/>
    <w:rsid w:val="002955BE"/>
    <w:rsid w:val="002B4813"/>
    <w:rsid w:val="002B6525"/>
    <w:rsid w:val="002C1382"/>
    <w:rsid w:val="002C6BD9"/>
    <w:rsid w:val="002D22D3"/>
    <w:rsid w:val="002E79C6"/>
    <w:rsid w:val="002F7EAC"/>
    <w:rsid w:val="00300B6A"/>
    <w:rsid w:val="0030205E"/>
    <w:rsid w:val="00302289"/>
    <w:rsid w:val="0030736D"/>
    <w:rsid w:val="00312F9E"/>
    <w:rsid w:val="0031342D"/>
    <w:rsid w:val="003150E2"/>
    <w:rsid w:val="00324AF7"/>
    <w:rsid w:val="003260EB"/>
    <w:rsid w:val="00330090"/>
    <w:rsid w:val="00336E6A"/>
    <w:rsid w:val="00343846"/>
    <w:rsid w:val="00351D1F"/>
    <w:rsid w:val="003549F5"/>
    <w:rsid w:val="00355E3E"/>
    <w:rsid w:val="00366BD7"/>
    <w:rsid w:val="00366E40"/>
    <w:rsid w:val="00383212"/>
    <w:rsid w:val="00384898"/>
    <w:rsid w:val="00386AA6"/>
    <w:rsid w:val="00391F57"/>
    <w:rsid w:val="00393A09"/>
    <w:rsid w:val="003A2AF7"/>
    <w:rsid w:val="003A4A6D"/>
    <w:rsid w:val="003A4FF8"/>
    <w:rsid w:val="003C587C"/>
    <w:rsid w:val="003D25CB"/>
    <w:rsid w:val="003F0641"/>
    <w:rsid w:val="003F14C3"/>
    <w:rsid w:val="003F3E56"/>
    <w:rsid w:val="003F638D"/>
    <w:rsid w:val="00426001"/>
    <w:rsid w:val="00431E16"/>
    <w:rsid w:val="0044193D"/>
    <w:rsid w:val="004419F8"/>
    <w:rsid w:val="00454549"/>
    <w:rsid w:val="00465644"/>
    <w:rsid w:val="00474D44"/>
    <w:rsid w:val="00475736"/>
    <w:rsid w:val="00480D46"/>
    <w:rsid w:val="004816FF"/>
    <w:rsid w:val="004820B5"/>
    <w:rsid w:val="0048641B"/>
    <w:rsid w:val="00490613"/>
    <w:rsid w:val="004A338F"/>
    <w:rsid w:val="004A5CD6"/>
    <w:rsid w:val="004B5066"/>
    <w:rsid w:val="004C24A3"/>
    <w:rsid w:val="004C3BFB"/>
    <w:rsid w:val="004D653A"/>
    <w:rsid w:val="004E1D61"/>
    <w:rsid w:val="004E43F1"/>
    <w:rsid w:val="004E7000"/>
    <w:rsid w:val="004E70C0"/>
    <w:rsid w:val="004F093D"/>
    <w:rsid w:val="00515FEE"/>
    <w:rsid w:val="005205AE"/>
    <w:rsid w:val="005229B7"/>
    <w:rsid w:val="00526B86"/>
    <w:rsid w:val="005307D4"/>
    <w:rsid w:val="005329CB"/>
    <w:rsid w:val="00536E94"/>
    <w:rsid w:val="005410D7"/>
    <w:rsid w:val="0054315D"/>
    <w:rsid w:val="005444A2"/>
    <w:rsid w:val="00544E2F"/>
    <w:rsid w:val="005522F4"/>
    <w:rsid w:val="00553502"/>
    <w:rsid w:val="005623E0"/>
    <w:rsid w:val="0056713C"/>
    <w:rsid w:val="00571749"/>
    <w:rsid w:val="00571F63"/>
    <w:rsid w:val="005772F9"/>
    <w:rsid w:val="00581A9C"/>
    <w:rsid w:val="00583366"/>
    <w:rsid w:val="00585D0A"/>
    <w:rsid w:val="00593849"/>
    <w:rsid w:val="005B0DF8"/>
    <w:rsid w:val="005B19F8"/>
    <w:rsid w:val="005B2B6F"/>
    <w:rsid w:val="005B3B00"/>
    <w:rsid w:val="005C0E84"/>
    <w:rsid w:val="005C740A"/>
    <w:rsid w:val="005D18FA"/>
    <w:rsid w:val="005D1FC5"/>
    <w:rsid w:val="005D48EC"/>
    <w:rsid w:val="005D6ED2"/>
    <w:rsid w:val="005D7243"/>
    <w:rsid w:val="005E60C2"/>
    <w:rsid w:val="005E7B44"/>
    <w:rsid w:val="005F6BE9"/>
    <w:rsid w:val="00607957"/>
    <w:rsid w:val="006164A9"/>
    <w:rsid w:val="00625055"/>
    <w:rsid w:val="0062679B"/>
    <w:rsid w:val="0063006E"/>
    <w:rsid w:val="0063314C"/>
    <w:rsid w:val="00634C84"/>
    <w:rsid w:val="00636E7E"/>
    <w:rsid w:val="00640D35"/>
    <w:rsid w:val="00644C5D"/>
    <w:rsid w:val="00644FF3"/>
    <w:rsid w:val="00647BE4"/>
    <w:rsid w:val="00647E76"/>
    <w:rsid w:val="00667DC2"/>
    <w:rsid w:val="006700D8"/>
    <w:rsid w:val="006772B6"/>
    <w:rsid w:val="006951F9"/>
    <w:rsid w:val="00695D1A"/>
    <w:rsid w:val="006A4D73"/>
    <w:rsid w:val="006B3EFF"/>
    <w:rsid w:val="006B4338"/>
    <w:rsid w:val="006B6A4D"/>
    <w:rsid w:val="006C774F"/>
    <w:rsid w:val="006E4D58"/>
    <w:rsid w:val="006E6CAF"/>
    <w:rsid w:val="006E6FAB"/>
    <w:rsid w:val="006E7605"/>
    <w:rsid w:val="006F2873"/>
    <w:rsid w:val="00704EF8"/>
    <w:rsid w:val="007058BB"/>
    <w:rsid w:val="0070695C"/>
    <w:rsid w:val="00714536"/>
    <w:rsid w:val="00715CD4"/>
    <w:rsid w:val="00717D29"/>
    <w:rsid w:val="00720A63"/>
    <w:rsid w:val="00730D6D"/>
    <w:rsid w:val="00744F36"/>
    <w:rsid w:val="007624A2"/>
    <w:rsid w:val="00765218"/>
    <w:rsid w:val="007805EF"/>
    <w:rsid w:val="00781D9D"/>
    <w:rsid w:val="00784C9F"/>
    <w:rsid w:val="007852E7"/>
    <w:rsid w:val="00793135"/>
    <w:rsid w:val="007A0206"/>
    <w:rsid w:val="007B061D"/>
    <w:rsid w:val="007C3A20"/>
    <w:rsid w:val="007C48A2"/>
    <w:rsid w:val="007C5A53"/>
    <w:rsid w:val="007D0013"/>
    <w:rsid w:val="007D0587"/>
    <w:rsid w:val="007D616A"/>
    <w:rsid w:val="007E08DF"/>
    <w:rsid w:val="007F025D"/>
    <w:rsid w:val="007F565C"/>
    <w:rsid w:val="00804481"/>
    <w:rsid w:val="00805C13"/>
    <w:rsid w:val="00806F42"/>
    <w:rsid w:val="00821AE5"/>
    <w:rsid w:val="00822D77"/>
    <w:rsid w:val="00830F20"/>
    <w:rsid w:val="00833296"/>
    <w:rsid w:val="00833CD6"/>
    <w:rsid w:val="00833EEB"/>
    <w:rsid w:val="00836A51"/>
    <w:rsid w:val="0084312A"/>
    <w:rsid w:val="00844DFB"/>
    <w:rsid w:val="00845E65"/>
    <w:rsid w:val="008503CF"/>
    <w:rsid w:val="0085090D"/>
    <w:rsid w:val="008623C9"/>
    <w:rsid w:val="008645CE"/>
    <w:rsid w:val="00864C87"/>
    <w:rsid w:val="00877C0F"/>
    <w:rsid w:val="00885241"/>
    <w:rsid w:val="00890D16"/>
    <w:rsid w:val="00892336"/>
    <w:rsid w:val="00893007"/>
    <w:rsid w:val="00895067"/>
    <w:rsid w:val="00897ECE"/>
    <w:rsid w:val="008A2BA3"/>
    <w:rsid w:val="008B2EDE"/>
    <w:rsid w:val="008B511F"/>
    <w:rsid w:val="008C26BD"/>
    <w:rsid w:val="008C2BCE"/>
    <w:rsid w:val="008D02D6"/>
    <w:rsid w:val="008E3926"/>
    <w:rsid w:val="008E77DA"/>
    <w:rsid w:val="009034C5"/>
    <w:rsid w:val="00907D8B"/>
    <w:rsid w:val="0091214E"/>
    <w:rsid w:val="00912A53"/>
    <w:rsid w:val="00912B53"/>
    <w:rsid w:val="00920B00"/>
    <w:rsid w:val="00923AE2"/>
    <w:rsid w:val="009274B8"/>
    <w:rsid w:val="00932338"/>
    <w:rsid w:val="00942945"/>
    <w:rsid w:val="009440E3"/>
    <w:rsid w:val="00946EC2"/>
    <w:rsid w:val="00952600"/>
    <w:rsid w:val="009610B6"/>
    <w:rsid w:val="00963440"/>
    <w:rsid w:val="00967ACF"/>
    <w:rsid w:val="0097588E"/>
    <w:rsid w:val="009778A2"/>
    <w:rsid w:val="009813DD"/>
    <w:rsid w:val="00991751"/>
    <w:rsid w:val="00991E1E"/>
    <w:rsid w:val="009968A1"/>
    <w:rsid w:val="009A40F0"/>
    <w:rsid w:val="009A5190"/>
    <w:rsid w:val="009A7699"/>
    <w:rsid w:val="009B34D8"/>
    <w:rsid w:val="009B5C31"/>
    <w:rsid w:val="009C05AA"/>
    <w:rsid w:val="009C49EF"/>
    <w:rsid w:val="009C59F0"/>
    <w:rsid w:val="009D25BA"/>
    <w:rsid w:val="009D47CA"/>
    <w:rsid w:val="009E749F"/>
    <w:rsid w:val="009F6B97"/>
    <w:rsid w:val="00A1444B"/>
    <w:rsid w:val="00A16EB6"/>
    <w:rsid w:val="00A27BD9"/>
    <w:rsid w:val="00A30064"/>
    <w:rsid w:val="00A34100"/>
    <w:rsid w:val="00A36650"/>
    <w:rsid w:val="00A37244"/>
    <w:rsid w:val="00A40B53"/>
    <w:rsid w:val="00A42B4C"/>
    <w:rsid w:val="00A43F40"/>
    <w:rsid w:val="00A51061"/>
    <w:rsid w:val="00A525A5"/>
    <w:rsid w:val="00A57D4D"/>
    <w:rsid w:val="00A72A90"/>
    <w:rsid w:val="00A762C5"/>
    <w:rsid w:val="00A7678E"/>
    <w:rsid w:val="00A80CDA"/>
    <w:rsid w:val="00A87E7B"/>
    <w:rsid w:val="00AA64C9"/>
    <w:rsid w:val="00AA7F02"/>
    <w:rsid w:val="00AB046E"/>
    <w:rsid w:val="00AB27B5"/>
    <w:rsid w:val="00AB625E"/>
    <w:rsid w:val="00AC12D7"/>
    <w:rsid w:val="00AC1F3C"/>
    <w:rsid w:val="00AC4CCF"/>
    <w:rsid w:val="00AC5D53"/>
    <w:rsid w:val="00AC5E64"/>
    <w:rsid w:val="00AC5E90"/>
    <w:rsid w:val="00AC73BA"/>
    <w:rsid w:val="00AD1C7A"/>
    <w:rsid w:val="00AE726D"/>
    <w:rsid w:val="00AE788E"/>
    <w:rsid w:val="00AE7EB1"/>
    <w:rsid w:val="00AF1433"/>
    <w:rsid w:val="00AF7309"/>
    <w:rsid w:val="00B06A7B"/>
    <w:rsid w:val="00B1060E"/>
    <w:rsid w:val="00B15615"/>
    <w:rsid w:val="00B15D07"/>
    <w:rsid w:val="00B2226B"/>
    <w:rsid w:val="00B31366"/>
    <w:rsid w:val="00B34A0B"/>
    <w:rsid w:val="00B35C7E"/>
    <w:rsid w:val="00B3742D"/>
    <w:rsid w:val="00B408F1"/>
    <w:rsid w:val="00B413B0"/>
    <w:rsid w:val="00B43A56"/>
    <w:rsid w:val="00B474E9"/>
    <w:rsid w:val="00B500B8"/>
    <w:rsid w:val="00B61F04"/>
    <w:rsid w:val="00B71DA6"/>
    <w:rsid w:val="00B80417"/>
    <w:rsid w:val="00B8479E"/>
    <w:rsid w:val="00BA640C"/>
    <w:rsid w:val="00BB196F"/>
    <w:rsid w:val="00BB409F"/>
    <w:rsid w:val="00BB4EF0"/>
    <w:rsid w:val="00BC2439"/>
    <w:rsid w:val="00BD0BC5"/>
    <w:rsid w:val="00BD2640"/>
    <w:rsid w:val="00BD3B37"/>
    <w:rsid w:val="00BE308E"/>
    <w:rsid w:val="00BE34CF"/>
    <w:rsid w:val="00BF38B8"/>
    <w:rsid w:val="00C04975"/>
    <w:rsid w:val="00C066AE"/>
    <w:rsid w:val="00C07BBE"/>
    <w:rsid w:val="00C11E75"/>
    <w:rsid w:val="00C1413A"/>
    <w:rsid w:val="00C274F4"/>
    <w:rsid w:val="00C307BF"/>
    <w:rsid w:val="00C34948"/>
    <w:rsid w:val="00C44A0E"/>
    <w:rsid w:val="00C55303"/>
    <w:rsid w:val="00C70D38"/>
    <w:rsid w:val="00C854AE"/>
    <w:rsid w:val="00C86E4B"/>
    <w:rsid w:val="00C92E3E"/>
    <w:rsid w:val="00C93D2A"/>
    <w:rsid w:val="00CA0262"/>
    <w:rsid w:val="00CA09DD"/>
    <w:rsid w:val="00CA2794"/>
    <w:rsid w:val="00CB02D0"/>
    <w:rsid w:val="00CB089A"/>
    <w:rsid w:val="00CB55A3"/>
    <w:rsid w:val="00CC3089"/>
    <w:rsid w:val="00CC323E"/>
    <w:rsid w:val="00CC3930"/>
    <w:rsid w:val="00CD52D0"/>
    <w:rsid w:val="00CD6A77"/>
    <w:rsid w:val="00CD6C2C"/>
    <w:rsid w:val="00CE2F0A"/>
    <w:rsid w:val="00CE399C"/>
    <w:rsid w:val="00CF172A"/>
    <w:rsid w:val="00CF4C7A"/>
    <w:rsid w:val="00CF4CD6"/>
    <w:rsid w:val="00CF51CD"/>
    <w:rsid w:val="00CF7950"/>
    <w:rsid w:val="00D005E9"/>
    <w:rsid w:val="00D034AD"/>
    <w:rsid w:val="00D037B8"/>
    <w:rsid w:val="00D06A44"/>
    <w:rsid w:val="00D07EE4"/>
    <w:rsid w:val="00D165FB"/>
    <w:rsid w:val="00D16E3B"/>
    <w:rsid w:val="00D173A7"/>
    <w:rsid w:val="00D20ECF"/>
    <w:rsid w:val="00D210B8"/>
    <w:rsid w:val="00D27245"/>
    <w:rsid w:val="00D401F7"/>
    <w:rsid w:val="00D44B96"/>
    <w:rsid w:val="00D47E91"/>
    <w:rsid w:val="00D571CA"/>
    <w:rsid w:val="00D76CF8"/>
    <w:rsid w:val="00D77599"/>
    <w:rsid w:val="00D87FEB"/>
    <w:rsid w:val="00D936A7"/>
    <w:rsid w:val="00D95E6A"/>
    <w:rsid w:val="00DA095E"/>
    <w:rsid w:val="00DA3341"/>
    <w:rsid w:val="00DA6BE5"/>
    <w:rsid w:val="00DA7EF8"/>
    <w:rsid w:val="00DB560B"/>
    <w:rsid w:val="00DB7A24"/>
    <w:rsid w:val="00DC3489"/>
    <w:rsid w:val="00DC73F6"/>
    <w:rsid w:val="00DC7AA1"/>
    <w:rsid w:val="00DD0F7A"/>
    <w:rsid w:val="00DD1332"/>
    <w:rsid w:val="00DD1E04"/>
    <w:rsid w:val="00DE05C4"/>
    <w:rsid w:val="00DE5745"/>
    <w:rsid w:val="00DE5993"/>
    <w:rsid w:val="00DE5DFA"/>
    <w:rsid w:val="00DF711E"/>
    <w:rsid w:val="00E014D4"/>
    <w:rsid w:val="00E06F02"/>
    <w:rsid w:val="00E2260F"/>
    <w:rsid w:val="00E26C2A"/>
    <w:rsid w:val="00E32576"/>
    <w:rsid w:val="00E43AD3"/>
    <w:rsid w:val="00E51ECF"/>
    <w:rsid w:val="00E53057"/>
    <w:rsid w:val="00E55362"/>
    <w:rsid w:val="00E637F2"/>
    <w:rsid w:val="00E76951"/>
    <w:rsid w:val="00E777AB"/>
    <w:rsid w:val="00E90D48"/>
    <w:rsid w:val="00E9269F"/>
    <w:rsid w:val="00EA0577"/>
    <w:rsid w:val="00EA0BCA"/>
    <w:rsid w:val="00EA3A8F"/>
    <w:rsid w:val="00EA600A"/>
    <w:rsid w:val="00EA7551"/>
    <w:rsid w:val="00EB6E45"/>
    <w:rsid w:val="00EC0DFE"/>
    <w:rsid w:val="00EC16E4"/>
    <w:rsid w:val="00EC6491"/>
    <w:rsid w:val="00EE2AB2"/>
    <w:rsid w:val="00EF6E77"/>
    <w:rsid w:val="00EF7772"/>
    <w:rsid w:val="00F0135C"/>
    <w:rsid w:val="00F0307E"/>
    <w:rsid w:val="00F05C8E"/>
    <w:rsid w:val="00F07409"/>
    <w:rsid w:val="00F149EE"/>
    <w:rsid w:val="00F15CF8"/>
    <w:rsid w:val="00F21DFD"/>
    <w:rsid w:val="00F34324"/>
    <w:rsid w:val="00F35F42"/>
    <w:rsid w:val="00F41BAD"/>
    <w:rsid w:val="00F46400"/>
    <w:rsid w:val="00F61211"/>
    <w:rsid w:val="00F64789"/>
    <w:rsid w:val="00F64853"/>
    <w:rsid w:val="00F7126D"/>
    <w:rsid w:val="00F77C9C"/>
    <w:rsid w:val="00F81ABB"/>
    <w:rsid w:val="00F81D0B"/>
    <w:rsid w:val="00F83224"/>
    <w:rsid w:val="00F841BD"/>
    <w:rsid w:val="00F85B43"/>
    <w:rsid w:val="00F873CD"/>
    <w:rsid w:val="00F9066D"/>
    <w:rsid w:val="00F9449D"/>
    <w:rsid w:val="00F95371"/>
    <w:rsid w:val="00F96F0C"/>
    <w:rsid w:val="00FA3F34"/>
    <w:rsid w:val="00FB172A"/>
    <w:rsid w:val="00FB2317"/>
    <w:rsid w:val="00FC0286"/>
    <w:rsid w:val="00FC2613"/>
    <w:rsid w:val="00FC4326"/>
    <w:rsid w:val="00FF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BF11"/>
  <w15:docId w15:val="{CEECE365-B609-47F1-B6F6-F31FF3C6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4C"/>
    <w:rPr>
      <w:rFonts w:ascii="Times New Roman" w:hAnsi="Times New Roman" w:cs="Times New Roman"/>
    </w:rPr>
  </w:style>
  <w:style w:type="paragraph" w:styleId="Heading1">
    <w:name w:val="heading 1"/>
    <w:basedOn w:val="Normal"/>
    <w:next w:val="Normal"/>
    <w:uiPriority w:val="9"/>
    <w:qFormat/>
    <w:rsid w:val="00CC323E"/>
    <w:pPr>
      <w:keepNext/>
      <w:keepLines/>
      <w:spacing w:before="360" w:after="120"/>
      <w:outlineLvl w:val="0"/>
    </w:pPr>
    <w:rPr>
      <w:b/>
      <w:sz w:val="36"/>
      <w:szCs w:val="36"/>
    </w:rPr>
  </w:style>
  <w:style w:type="paragraph" w:styleId="Heading2">
    <w:name w:val="heading 2"/>
    <w:basedOn w:val="Normal"/>
    <w:next w:val="Normal"/>
    <w:uiPriority w:val="9"/>
    <w:unhideWhenUsed/>
    <w:qFormat/>
    <w:rsid w:val="00131311"/>
    <w:pPr>
      <w:keepNext/>
      <w:keepLines/>
      <w:spacing w:before="240" w:after="160"/>
      <w:outlineLvl w:val="1"/>
    </w:pPr>
    <w:rPr>
      <w:rFonts w:eastAsia="Calibri"/>
      <w:b/>
      <w:sz w:val="28"/>
      <w:szCs w:val="28"/>
    </w:rPr>
  </w:style>
  <w:style w:type="paragraph" w:styleId="Heading3">
    <w:name w:val="heading 3"/>
    <w:basedOn w:val="Normal"/>
    <w:next w:val="Normal"/>
    <w:uiPriority w:val="9"/>
    <w:unhideWhenUsed/>
    <w:qFormat/>
    <w:rsid w:val="00490613"/>
    <w:pPr>
      <w:spacing w:before="280" w:after="24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paragraph" w:styleId="Header">
    <w:name w:val="header"/>
    <w:basedOn w:val="Normal"/>
    <w:link w:val="HeaderChar"/>
    <w:uiPriority w:val="99"/>
    <w:unhideWhenUsed/>
    <w:rsid w:val="00A30064"/>
    <w:pPr>
      <w:tabs>
        <w:tab w:val="center" w:pos="4680"/>
        <w:tab w:val="right" w:pos="9360"/>
      </w:tabs>
      <w:spacing w:after="0"/>
    </w:pPr>
  </w:style>
  <w:style w:type="character" w:customStyle="1" w:styleId="HeaderChar">
    <w:name w:val="Header Char"/>
    <w:basedOn w:val="DefaultParagraphFont"/>
    <w:link w:val="Header"/>
    <w:uiPriority w:val="99"/>
    <w:rsid w:val="00A30064"/>
  </w:style>
  <w:style w:type="paragraph" w:styleId="Footer">
    <w:name w:val="footer"/>
    <w:basedOn w:val="Normal"/>
    <w:link w:val="FooterChar"/>
    <w:uiPriority w:val="99"/>
    <w:unhideWhenUsed/>
    <w:rsid w:val="00A30064"/>
    <w:pPr>
      <w:tabs>
        <w:tab w:val="center" w:pos="4680"/>
        <w:tab w:val="right" w:pos="9360"/>
      </w:tabs>
      <w:spacing w:after="0"/>
    </w:pPr>
  </w:style>
  <w:style w:type="character" w:customStyle="1" w:styleId="FooterChar">
    <w:name w:val="Footer Char"/>
    <w:basedOn w:val="DefaultParagraphFont"/>
    <w:link w:val="Footer"/>
    <w:uiPriority w:val="99"/>
    <w:rsid w:val="00A30064"/>
  </w:style>
  <w:style w:type="character" w:styleId="Hyperlink">
    <w:name w:val="Hyperlink"/>
    <w:basedOn w:val="DefaultParagraphFont"/>
    <w:uiPriority w:val="99"/>
    <w:unhideWhenUsed/>
    <w:rsid w:val="00A30064"/>
    <w:rPr>
      <w:color w:val="0000FF" w:themeColor="hyperlink"/>
      <w:u w:val="single"/>
    </w:rPr>
  </w:style>
  <w:style w:type="character" w:styleId="UnresolvedMention">
    <w:name w:val="Unresolved Mention"/>
    <w:basedOn w:val="DefaultParagraphFont"/>
    <w:uiPriority w:val="99"/>
    <w:semiHidden/>
    <w:unhideWhenUsed/>
    <w:rsid w:val="00A30064"/>
    <w:rPr>
      <w:color w:val="605E5C"/>
      <w:shd w:val="clear" w:color="auto" w:fill="E1DFDD"/>
    </w:rPr>
  </w:style>
  <w:style w:type="table" w:styleId="TableGrid">
    <w:name w:val="Table Grid"/>
    <w:basedOn w:val="TableNormal"/>
    <w:uiPriority w:val="59"/>
    <w:rsid w:val="00B474E9"/>
    <w:pPr>
      <w:spacing w:after="0"/>
    </w:pPr>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2B4C"/>
    <w:pPr>
      <w:ind w:left="720"/>
      <w:contextualSpacing/>
    </w:pPr>
  </w:style>
  <w:style w:type="paragraph" w:styleId="NormalWeb">
    <w:name w:val="Normal (Web)"/>
    <w:basedOn w:val="Normal"/>
    <w:uiPriority w:val="99"/>
    <w:unhideWhenUsed/>
    <w:rsid w:val="000543D9"/>
    <w:pPr>
      <w:spacing w:before="100" w:beforeAutospacing="1" w:after="100" w:afterAutospacing="1"/>
    </w:pPr>
    <w:rPr>
      <w:rFonts w:eastAsia="Times New Roman"/>
    </w:rPr>
  </w:style>
  <w:style w:type="character" w:styleId="Strong">
    <w:name w:val="Strong"/>
    <w:basedOn w:val="DefaultParagraphFont"/>
    <w:uiPriority w:val="22"/>
    <w:qFormat/>
    <w:rsid w:val="00131311"/>
    <w:rPr>
      <w:b/>
      <w:bCs/>
    </w:rPr>
  </w:style>
  <w:style w:type="paragraph" w:customStyle="1" w:styleId="zfr3q">
    <w:name w:val="zfr3q"/>
    <w:basedOn w:val="Normal"/>
    <w:rsid w:val="00131311"/>
    <w:pPr>
      <w:spacing w:before="100" w:beforeAutospacing="1" w:after="100" w:afterAutospacing="1"/>
    </w:pPr>
    <w:rPr>
      <w:rFonts w:eastAsia="Times New Roman"/>
    </w:rPr>
  </w:style>
  <w:style w:type="character" w:customStyle="1" w:styleId="authors">
    <w:name w:val="authors"/>
    <w:basedOn w:val="DefaultParagraphFont"/>
    <w:rsid w:val="005522F4"/>
  </w:style>
  <w:style w:type="character" w:customStyle="1" w:styleId="Date1">
    <w:name w:val="Date1"/>
    <w:basedOn w:val="DefaultParagraphFont"/>
    <w:rsid w:val="005522F4"/>
  </w:style>
  <w:style w:type="character" w:customStyle="1" w:styleId="arttitle">
    <w:name w:val="art_title"/>
    <w:basedOn w:val="DefaultParagraphFont"/>
    <w:rsid w:val="005522F4"/>
  </w:style>
  <w:style w:type="character" w:customStyle="1" w:styleId="serialtitle">
    <w:name w:val="serial_title"/>
    <w:basedOn w:val="DefaultParagraphFont"/>
    <w:rsid w:val="005522F4"/>
  </w:style>
  <w:style w:type="character" w:customStyle="1" w:styleId="volumeissue">
    <w:name w:val="volume_issue"/>
    <w:basedOn w:val="DefaultParagraphFont"/>
    <w:rsid w:val="005522F4"/>
  </w:style>
  <w:style w:type="character" w:customStyle="1" w:styleId="pagerange">
    <w:name w:val="page_range"/>
    <w:basedOn w:val="DefaultParagraphFont"/>
    <w:rsid w:val="005522F4"/>
  </w:style>
  <w:style w:type="character" w:customStyle="1" w:styleId="doilink">
    <w:name w:val="doi_link"/>
    <w:basedOn w:val="DefaultParagraphFont"/>
    <w:rsid w:val="005522F4"/>
  </w:style>
  <w:style w:type="paragraph" w:styleId="Bibliography">
    <w:name w:val="Bibliography"/>
    <w:basedOn w:val="Normal"/>
    <w:next w:val="Normal"/>
    <w:uiPriority w:val="37"/>
    <w:unhideWhenUsed/>
    <w:rsid w:val="00DA095E"/>
  </w:style>
  <w:style w:type="character" w:styleId="Emphasis">
    <w:name w:val="Emphasis"/>
    <w:basedOn w:val="DefaultParagraphFont"/>
    <w:uiPriority w:val="20"/>
    <w:qFormat/>
    <w:rsid w:val="00F841BD"/>
    <w:rPr>
      <w:i/>
      <w:iCs/>
    </w:rPr>
  </w:style>
  <w:style w:type="character" w:styleId="CommentReference">
    <w:name w:val="annotation reference"/>
    <w:basedOn w:val="DefaultParagraphFont"/>
    <w:uiPriority w:val="99"/>
    <w:semiHidden/>
    <w:unhideWhenUsed/>
    <w:rsid w:val="00343846"/>
    <w:rPr>
      <w:sz w:val="16"/>
      <w:szCs w:val="16"/>
    </w:rPr>
  </w:style>
  <w:style w:type="paragraph" w:styleId="CommentText">
    <w:name w:val="annotation text"/>
    <w:basedOn w:val="Normal"/>
    <w:link w:val="CommentTextChar"/>
    <w:uiPriority w:val="99"/>
    <w:semiHidden/>
    <w:unhideWhenUsed/>
    <w:rsid w:val="00343846"/>
    <w:rPr>
      <w:sz w:val="20"/>
      <w:szCs w:val="20"/>
    </w:rPr>
  </w:style>
  <w:style w:type="character" w:customStyle="1" w:styleId="CommentTextChar">
    <w:name w:val="Comment Text Char"/>
    <w:basedOn w:val="DefaultParagraphFont"/>
    <w:link w:val="CommentText"/>
    <w:uiPriority w:val="99"/>
    <w:semiHidden/>
    <w:rsid w:val="003438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3846"/>
    <w:rPr>
      <w:b/>
      <w:bCs/>
    </w:rPr>
  </w:style>
  <w:style w:type="character" w:customStyle="1" w:styleId="CommentSubjectChar">
    <w:name w:val="Comment Subject Char"/>
    <w:basedOn w:val="CommentTextChar"/>
    <w:link w:val="CommentSubject"/>
    <w:uiPriority w:val="99"/>
    <w:semiHidden/>
    <w:rsid w:val="0034384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438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846"/>
    <w:rPr>
      <w:rFonts w:ascii="Segoe UI" w:hAnsi="Segoe UI" w:cs="Segoe UI"/>
      <w:sz w:val="18"/>
      <w:szCs w:val="18"/>
    </w:rPr>
  </w:style>
  <w:style w:type="character" w:styleId="FollowedHyperlink">
    <w:name w:val="FollowedHyperlink"/>
    <w:basedOn w:val="DefaultParagraphFont"/>
    <w:uiPriority w:val="99"/>
    <w:semiHidden/>
    <w:unhideWhenUsed/>
    <w:rsid w:val="00A40B53"/>
    <w:rPr>
      <w:color w:val="800080" w:themeColor="followedHyperlink"/>
      <w:u w:val="single"/>
    </w:rPr>
  </w:style>
  <w:style w:type="paragraph" w:styleId="NoSpacing">
    <w:name w:val="No Spacing"/>
    <w:uiPriority w:val="1"/>
    <w:qFormat/>
    <w:rsid w:val="00490613"/>
    <w:pPr>
      <w:spacing w:after="0"/>
    </w:pPr>
    <w:rPr>
      <w:rFonts w:ascii="Times New Roman" w:hAnsi="Times New Roman" w:cs="Times New Roman"/>
    </w:rPr>
  </w:style>
  <w:style w:type="paragraph" w:customStyle="1" w:styleId="Default">
    <w:name w:val="Default"/>
    <w:rsid w:val="00CA2794"/>
    <w:pPr>
      <w:autoSpaceDE w:val="0"/>
      <w:autoSpaceDN w:val="0"/>
      <w:adjustRightInd w:val="0"/>
      <w:spacing w:after="0"/>
    </w:pPr>
    <w:rPr>
      <w:rFonts w:eastAsiaTheme="minorHAnsi"/>
      <w:color w:val="000000"/>
    </w:rPr>
  </w:style>
  <w:style w:type="character" w:customStyle="1" w:styleId="apple-converted-space">
    <w:name w:val="apple-converted-space"/>
    <w:basedOn w:val="DefaultParagraphFont"/>
    <w:rsid w:val="002E7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8947">
      <w:bodyDiv w:val="1"/>
      <w:marLeft w:val="0"/>
      <w:marRight w:val="0"/>
      <w:marTop w:val="0"/>
      <w:marBottom w:val="0"/>
      <w:divBdr>
        <w:top w:val="none" w:sz="0" w:space="0" w:color="auto"/>
        <w:left w:val="none" w:sz="0" w:space="0" w:color="auto"/>
        <w:bottom w:val="none" w:sz="0" w:space="0" w:color="auto"/>
        <w:right w:val="none" w:sz="0" w:space="0" w:color="auto"/>
      </w:divBdr>
    </w:div>
    <w:div w:id="416823881">
      <w:bodyDiv w:val="1"/>
      <w:marLeft w:val="0"/>
      <w:marRight w:val="0"/>
      <w:marTop w:val="0"/>
      <w:marBottom w:val="0"/>
      <w:divBdr>
        <w:top w:val="none" w:sz="0" w:space="0" w:color="auto"/>
        <w:left w:val="none" w:sz="0" w:space="0" w:color="auto"/>
        <w:bottom w:val="none" w:sz="0" w:space="0" w:color="auto"/>
        <w:right w:val="none" w:sz="0" w:space="0" w:color="auto"/>
      </w:divBdr>
    </w:div>
    <w:div w:id="459081283">
      <w:bodyDiv w:val="1"/>
      <w:marLeft w:val="0"/>
      <w:marRight w:val="0"/>
      <w:marTop w:val="0"/>
      <w:marBottom w:val="0"/>
      <w:divBdr>
        <w:top w:val="none" w:sz="0" w:space="0" w:color="auto"/>
        <w:left w:val="none" w:sz="0" w:space="0" w:color="auto"/>
        <w:bottom w:val="none" w:sz="0" w:space="0" w:color="auto"/>
        <w:right w:val="none" w:sz="0" w:space="0" w:color="auto"/>
      </w:divBdr>
      <w:divsChild>
        <w:div w:id="1490369621">
          <w:marLeft w:val="0"/>
          <w:marRight w:val="0"/>
          <w:marTop w:val="0"/>
          <w:marBottom w:val="0"/>
          <w:divBdr>
            <w:top w:val="none" w:sz="0" w:space="0" w:color="auto"/>
            <w:left w:val="none" w:sz="0" w:space="0" w:color="auto"/>
            <w:bottom w:val="none" w:sz="0" w:space="0" w:color="auto"/>
            <w:right w:val="none" w:sz="0" w:space="0" w:color="auto"/>
          </w:divBdr>
        </w:div>
      </w:divsChild>
    </w:div>
    <w:div w:id="505361735">
      <w:bodyDiv w:val="1"/>
      <w:marLeft w:val="0"/>
      <w:marRight w:val="0"/>
      <w:marTop w:val="0"/>
      <w:marBottom w:val="0"/>
      <w:divBdr>
        <w:top w:val="none" w:sz="0" w:space="0" w:color="auto"/>
        <w:left w:val="none" w:sz="0" w:space="0" w:color="auto"/>
        <w:bottom w:val="none" w:sz="0" w:space="0" w:color="auto"/>
        <w:right w:val="none" w:sz="0" w:space="0" w:color="auto"/>
      </w:divBdr>
    </w:div>
    <w:div w:id="746077814">
      <w:bodyDiv w:val="1"/>
      <w:marLeft w:val="0"/>
      <w:marRight w:val="0"/>
      <w:marTop w:val="0"/>
      <w:marBottom w:val="0"/>
      <w:divBdr>
        <w:top w:val="none" w:sz="0" w:space="0" w:color="auto"/>
        <w:left w:val="none" w:sz="0" w:space="0" w:color="auto"/>
        <w:bottom w:val="none" w:sz="0" w:space="0" w:color="auto"/>
        <w:right w:val="none" w:sz="0" w:space="0" w:color="auto"/>
      </w:divBdr>
    </w:div>
    <w:div w:id="1123578802">
      <w:bodyDiv w:val="1"/>
      <w:marLeft w:val="0"/>
      <w:marRight w:val="0"/>
      <w:marTop w:val="0"/>
      <w:marBottom w:val="0"/>
      <w:divBdr>
        <w:top w:val="none" w:sz="0" w:space="0" w:color="auto"/>
        <w:left w:val="none" w:sz="0" w:space="0" w:color="auto"/>
        <w:bottom w:val="none" w:sz="0" w:space="0" w:color="auto"/>
        <w:right w:val="none" w:sz="0" w:space="0" w:color="auto"/>
      </w:divBdr>
      <w:divsChild>
        <w:div w:id="954143056">
          <w:marLeft w:val="0"/>
          <w:marRight w:val="0"/>
          <w:marTop w:val="0"/>
          <w:marBottom w:val="0"/>
          <w:divBdr>
            <w:top w:val="none" w:sz="0" w:space="0" w:color="auto"/>
            <w:left w:val="none" w:sz="0" w:space="0" w:color="auto"/>
            <w:bottom w:val="none" w:sz="0" w:space="0" w:color="auto"/>
            <w:right w:val="none" w:sz="0" w:space="0" w:color="auto"/>
          </w:divBdr>
        </w:div>
      </w:divsChild>
    </w:div>
    <w:div w:id="1248613954">
      <w:bodyDiv w:val="1"/>
      <w:marLeft w:val="0"/>
      <w:marRight w:val="0"/>
      <w:marTop w:val="0"/>
      <w:marBottom w:val="0"/>
      <w:divBdr>
        <w:top w:val="none" w:sz="0" w:space="0" w:color="auto"/>
        <w:left w:val="none" w:sz="0" w:space="0" w:color="auto"/>
        <w:bottom w:val="none" w:sz="0" w:space="0" w:color="auto"/>
        <w:right w:val="none" w:sz="0" w:space="0" w:color="auto"/>
      </w:divBdr>
      <w:divsChild>
        <w:div w:id="1963683496">
          <w:marLeft w:val="0"/>
          <w:marRight w:val="0"/>
          <w:marTop w:val="0"/>
          <w:marBottom w:val="0"/>
          <w:divBdr>
            <w:top w:val="none" w:sz="0" w:space="0" w:color="auto"/>
            <w:left w:val="none" w:sz="0" w:space="0" w:color="auto"/>
            <w:bottom w:val="none" w:sz="0" w:space="0" w:color="auto"/>
            <w:right w:val="none" w:sz="0" w:space="0" w:color="auto"/>
          </w:divBdr>
        </w:div>
      </w:divsChild>
    </w:div>
    <w:div w:id="1607543181">
      <w:bodyDiv w:val="1"/>
      <w:marLeft w:val="0"/>
      <w:marRight w:val="0"/>
      <w:marTop w:val="0"/>
      <w:marBottom w:val="0"/>
      <w:divBdr>
        <w:top w:val="none" w:sz="0" w:space="0" w:color="auto"/>
        <w:left w:val="none" w:sz="0" w:space="0" w:color="auto"/>
        <w:bottom w:val="none" w:sz="0" w:space="0" w:color="auto"/>
        <w:right w:val="none" w:sz="0" w:space="0" w:color="auto"/>
      </w:divBdr>
    </w:div>
    <w:div w:id="1696154082">
      <w:bodyDiv w:val="1"/>
      <w:marLeft w:val="0"/>
      <w:marRight w:val="0"/>
      <w:marTop w:val="0"/>
      <w:marBottom w:val="0"/>
      <w:divBdr>
        <w:top w:val="none" w:sz="0" w:space="0" w:color="auto"/>
        <w:left w:val="none" w:sz="0" w:space="0" w:color="auto"/>
        <w:bottom w:val="none" w:sz="0" w:space="0" w:color="auto"/>
        <w:right w:val="none" w:sz="0" w:space="0" w:color="auto"/>
      </w:divBdr>
      <w:divsChild>
        <w:div w:id="97651106">
          <w:marLeft w:val="0"/>
          <w:marRight w:val="0"/>
          <w:marTop w:val="0"/>
          <w:marBottom w:val="0"/>
          <w:divBdr>
            <w:top w:val="none" w:sz="0" w:space="0" w:color="auto"/>
            <w:left w:val="none" w:sz="0" w:space="0" w:color="auto"/>
            <w:bottom w:val="none" w:sz="0" w:space="0" w:color="auto"/>
            <w:right w:val="none" w:sz="0" w:space="0" w:color="auto"/>
          </w:divBdr>
        </w:div>
      </w:divsChild>
    </w:div>
    <w:div w:id="1730420245">
      <w:bodyDiv w:val="1"/>
      <w:marLeft w:val="0"/>
      <w:marRight w:val="0"/>
      <w:marTop w:val="0"/>
      <w:marBottom w:val="0"/>
      <w:divBdr>
        <w:top w:val="none" w:sz="0" w:space="0" w:color="auto"/>
        <w:left w:val="none" w:sz="0" w:space="0" w:color="auto"/>
        <w:bottom w:val="none" w:sz="0" w:space="0" w:color="auto"/>
        <w:right w:val="none" w:sz="0" w:space="0" w:color="auto"/>
      </w:divBdr>
    </w:div>
    <w:div w:id="1805347930">
      <w:bodyDiv w:val="1"/>
      <w:marLeft w:val="0"/>
      <w:marRight w:val="0"/>
      <w:marTop w:val="0"/>
      <w:marBottom w:val="0"/>
      <w:divBdr>
        <w:top w:val="none" w:sz="0" w:space="0" w:color="auto"/>
        <w:left w:val="none" w:sz="0" w:space="0" w:color="auto"/>
        <w:bottom w:val="none" w:sz="0" w:space="0" w:color="auto"/>
        <w:right w:val="none" w:sz="0" w:space="0" w:color="auto"/>
      </w:divBdr>
    </w:div>
    <w:div w:id="1845198737">
      <w:bodyDiv w:val="1"/>
      <w:marLeft w:val="0"/>
      <w:marRight w:val="0"/>
      <w:marTop w:val="0"/>
      <w:marBottom w:val="0"/>
      <w:divBdr>
        <w:top w:val="none" w:sz="0" w:space="0" w:color="auto"/>
        <w:left w:val="none" w:sz="0" w:space="0" w:color="auto"/>
        <w:bottom w:val="none" w:sz="0" w:space="0" w:color="auto"/>
        <w:right w:val="none" w:sz="0" w:space="0" w:color="auto"/>
      </w:divBdr>
      <w:divsChild>
        <w:div w:id="1842113076">
          <w:marLeft w:val="0"/>
          <w:marRight w:val="0"/>
          <w:marTop w:val="0"/>
          <w:marBottom w:val="0"/>
          <w:divBdr>
            <w:top w:val="none" w:sz="0" w:space="0" w:color="auto"/>
            <w:left w:val="none" w:sz="0" w:space="0" w:color="auto"/>
            <w:bottom w:val="none" w:sz="0" w:space="0" w:color="auto"/>
            <w:right w:val="none" w:sz="0" w:space="0" w:color="auto"/>
          </w:divBdr>
        </w:div>
      </w:divsChild>
    </w:div>
    <w:div w:id="2094234453">
      <w:bodyDiv w:val="1"/>
      <w:marLeft w:val="0"/>
      <w:marRight w:val="0"/>
      <w:marTop w:val="0"/>
      <w:marBottom w:val="0"/>
      <w:divBdr>
        <w:top w:val="none" w:sz="0" w:space="0" w:color="auto"/>
        <w:left w:val="none" w:sz="0" w:space="0" w:color="auto"/>
        <w:bottom w:val="none" w:sz="0" w:space="0" w:color="auto"/>
        <w:right w:val="none" w:sz="0" w:space="0" w:color="auto"/>
      </w:divBdr>
    </w:div>
    <w:div w:id="2095318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klein@umich.edu" TargetMode="External"/><Relationship Id="rId13" Type="http://schemas.openxmlformats.org/officeDocument/2006/relationships/hyperlink" Target="http://ehs.umich.edu/wp-content/uploads/2020/07/U-M-Face-Covering-Policy-for-COVID-19.pdf" TargetMode="External"/><Relationship Id="rId18" Type="http://schemas.openxmlformats.org/officeDocument/2006/relationships/hyperlink" Target="https://www.vox.com/2014/6/4/5776804/note-taking-by-hand-versus-laptop" TargetMode="External"/><Relationship Id="rId26" Type="http://schemas.openxmlformats.org/officeDocument/2006/relationships/hyperlink" Target="https://www.uhs.umich.edu/mentalhealthsvcs" TargetMode="External"/><Relationship Id="rId3" Type="http://schemas.openxmlformats.org/officeDocument/2006/relationships/styles" Target="styles.xml"/><Relationship Id="rId21" Type="http://schemas.openxmlformats.org/officeDocument/2006/relationships/hyperlink" Target="https://www.google.com/url?q=https%3A%2F%2Fits.umich.edu%2Fcomputing%2Fcomputers-software%2Fsites-at-home&amp;sa=D&amp;sntz=1&amp;usg=AFQjCNExvQikiMHWmDIQ3PzG1fSZcaPE8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mpusblueprint.umich.edu/care/" TargetMode="External"/><Relationship Id="rId17" Type="http://schemas.openxmlformats.org/officeDocument/2006/relationships/hyperlink" Target="http://ssd.umich.edu/" TargetMode="External"/><Relationship Id="rId25" Type="http://schemas.openxmlformats.org/officeDocument/2006/relationships/hyperlink" Target="https://caps.umich.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scr.umich.edu/" TargetMode="External"/><Relationship Id="rId20" Type="http://schemas.openxmlformats.org/officeDocument/2006/relationships/hyperlink" Target="https://www.google.com/url?q=https%3A%2F%2Fits.umich.edu%2Fcomputing%2Fcomputers-software%2Fsites-at-home&amp;sa=D&amp;sntz=1&amp;usg=AFQjCNExvQikiMHWmDIQ3PzG1fSZcaPE8A" TargetMode="External"/><Relationship Id="rId29" Type="http://schemas.openxmlformats.org/officeDocument/2006/relationships/hyperlink" Target="http://sapac.umi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research.umich.edu/peerrs/" TargetMode="External"/><Relationship Id="rId24" Type="http://schemas.openxmlformats.org/officeDocument/2006/relationships/hyperlink" Target="http://www.lsa.umich.edu/sweetland/undergraduat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sa.umich.edu/lsa/academics/lsa-academic-policies/lsa-student-commitment-to-the-wolverine-culture-of-care.html" TargetMode="External"/><Relationship Id="rId23" Type="http://schemas.openxmlformats.org/officeDocument/2006/relationships/hyperlink" Target="https://lsa.umich.edu/lsa/academics/academic-integrity/academic-misconduct.html" TargetMode="External"/><Relationship Id="rId28" Type="http://schemas.openxmlformats.org/officeDocument/2006/relationships/hyperlink" Target="http://umich.edu/~mhealth/" TargetMode="External"/><Relationship Id="rId10" Type="http://schemas.openxmlformats.org/officeDocument/2006/relationships/hyperlink" Target="https://research-compliance.umich.edu/irb-application-process" TargetMode="External"/><Relationship Id="rId19" Type="http://schemas.openxmlformats.org/officeDocument/2006/relationships/hyperlink" Target="https://safecomputing.umich.edu/be-aware/privacy/privacy-u-m/videoconferencing/recording-privacy-concerns-faq" TargetMode="External"/><Relationship Id="rId31" Type="http://schemas.openxmlformats.org/officeDocument/2006/relationships/hyperlink" Target="https://www.cjr.org/turnaround" TargetMode="External"/><Relationship Id="rId4" Type="http://schemas.openxmlformats.org/officeDocument/2006/relationships/settings" Target="settings.xml"/><Relationship Id="rId9" Type="http://schemas.openxmlformats.org/officeDocument/2006/relationships/hyperlink" Target="https://brianklein.youcanbook.me" TargetMode="External"/><Relationship Id="rId14" Type="http://schemas.openxmlformats.org/officeDocument/2006/relationships/hyperlink" Target="https://oie.umich.edu/american-with-disabilities-act-ada/" TargetMode="External"/><Relationship Id="rId22" Type="http://schemas.openxmlformats.org/officeDocument/2006/relationships/hyperlink" Target="http://lsa.umich.edu/lsa/academics/academic-integrity.html" TargetMode="External"/><Relationship Id="rId27" Type="http://schemas.openxmlformats.org/officeDocument/2006/relationships/hyperlink" Target="https://www.uhs.umich.edu/aodresources" TargetMode="External"/><Relationship Id="rId30" Type="http://schemas.openxmlformats.org/officeDocument/2006/relationships/hyperlink" Target="mailto:institutional.equity@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7A16C-1E05-462F-B7C0-D9E1BA37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5029</Words>
  <Characters>28670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Klein</dc:creator>
  <cp:lastModifiedBy>Brian Klein</cp:lastModifiedBy>
  <cp:revision>2</cp:revision>
  <cp:lastPrinted>2022-01-03T20:50:00Z</cp:lastPrinted>
  <dcterms:created xsi:type="dcterms:W3CDTF">2022-12-09T15:13:00Z</dcterms:created>
  <dcterms:modified xsi:type="dcterms:W3CDTF">2022-12-09T15:13:00Z</dcterms:modified>
</cp:coreProperties>
</file>